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8AF" w:rsidRDefault="00C248AF" w:rsidP="00F801F7">
      <w:pPr>
        <w:ind w:left="0" w:firstLine="0"/>
        <w:rPr>
          <w:b/>
        </w:rPr>
      </w:pPr>
      <w:bookmarkStart w:id="0" w:name="_GoBack"/>
      <w:bookmarkEnd w:id="0"/>
    </w:p>
    <w:p w:rsidR="00F801F7" w:rsidRDefault="00F801F7" w:rsidP="00F801F7">
      <w:pPr>
        <w:ind w:left="0" w:firstLine="0"/>
      </w:pPr>
      <w:r w:rsidRPr="00D96455">
        <w:rPr>
          <w:b/>
        </w:rPr>
        <w:t>RELAZIONE</w:t>
      </w:r>
      <w:r w:rsidR="0008078C">
        <w:t xml:space="preserve"> (pgg.4</w:t>
      </w:r>
      <w:r w:rsidR="00A330C1">
        <w:t>-</w:t>
      </w:r>
      <w:r w:rsidR="00242481">
        <w:t>3</w:t>
      </w:r>
      <w:r w:rsidR="00615694">
        <w:t>2</w:t>
      </w:r>
      <w:r>
        <w:t>)</w:t>
      </w:r>
      <w:r w:rsidRPr="00F75C91">
        <w:t>.</w:t>
      </w:r>
    </w:p>
    <w:p w:rsidR="009D6C06" w:rsidRDefault="009D6C06" w:rsidP="00F801F7">
      <w:pPr>
        <w:ind w:left="0" w:firstLine="0"/>
      </w:pPr>
    </w:p>
    <w:p w:rsidR="00A330C1" w:rsidRPr="00A330C1" w:rsidRDefault="00A330C1" w:rsidP="00A330C1">
      <w:pPr>
        <w:ind w:left="0" w:firstLine="0"/>
      </w:pPr>
      <w:r>
        <w:t>L’anno 2020 è caratterizzato da una</w:t>
      </w:r>
      <w:r w:rsidRPr="00A330C1">
        <w:t xml:space="preserve"> </w:t>
      </w:r>
      <w:r>
        <w:t>“straordinarietà” dettata: sia dal</w:t>
      </w:r>
      <w:r w:rsidRPr="00A330C1">
        <w:t>l</w:t>
      </w:r>
      <w:r>
        <w:t xml:space="preserve">’emergenza sanitaria e la conseguente </w:t>
      </w:r>
      <w:r w:rsidRPr="00A330C1">
        <w:t>prolu</w:t>
      </w:r>
      <w:r w:rsidR="00723714">
        <w:t>ngata chiusura delle strutture con i</w:t>
      </w:r>
      <w:r w:rsidRPr="00A330C1">
        <w:t xml:space="preserve"> </w:t>
      </w:r>
      <w:r w:rsidR="00723714">
        <w:t>relativi</w:t>
      </w:r>
      <w:r w:rsidRPr="00A330C1">
        <w:t xml:space="preserve"> risparmi di gestione</w:t>
      </w:r>
      <w:r w:rsidR="00CC4D54">
        <w:t xml:space="preserve"> (6 milioni di euro)</w:t>
      </w:r>
      <w:r w:rsidRPr="00A330C1">
        <w:t>, sia da accadimenti interni all’Ateneo, con particolare riguardo al ritiro del ricorso da parte dell’Associazione</w:t>
      </w:r>
      <w:r w:rsidR="0023518C">
        <w:t xml:space="preserve"> Studentesca</w:t>
      </w:r>
      <w:r w:rsidRPr="00A330C1">
        <w:t xml:space="preserve"> UDU </w:t>
      </w:r>
      <w:r w:rsidR="00FD1AE4">
        <w:t>(</w:t>
      </w:r>
      <w:r w:rsidR="00FD1AE4" w:rsidRPr="00FD1AE4">
        <w:t>avverso il presunto superamento del limite del 20% della tassazione rispetto al finanziamento pubblico</w:t>
      </w:r>
      <w:r w:rsidR="00FD1AE4">
        <w:t>)</w:t>
      </w:r>
      <w:r w:rsidR="00FD1AE4" w:rsidRPr="00FD1AE4">
        <w:t xml:space="preserve"> </w:t>
      </w:r>
      <w:r w:rsidRPr="00A330C1">
        <w:t>ed il conseguente svincolo degli accantonamenti da contenzioso a suo tempo disposti che ha consentito di liberare 26</w:t>
      </w:r>
      <w:r w:rsidR="00AE6C0D">
        <w:t>,6</w:t>
      </w:r>
      <w:r w:rsidRPr="00A330C1">
        <w:t xml:space="preserve"> milioni di risorse.</w:t>
      </w:r>
    </w:p>
    <w:p w:rsidR="00723714" w:rsidRDefault="00723714" w:rsidP="00A330C1">
      <w:pPr>
        <w:ind w:left="0" w:firstLine="0"/>
      </w:pPr>
    </w:p>
    <w:p w:rsidR="00723714" w:rsidRPr="00844F91" w:rsidRDefault="00723714" w:rsidP="00A330C1">
      <w:pPr>
        <w:ind w:left="0" w:firstLine="0"/>
        <w:rPr>
          <w:color w:val="FF0000"/>
        </w:rPr>
      </w:pPr>
      <w:r w:rsidRPr="00844F91">
        <w:rPr>
          <w:color w:val="FF0000"/>
        </w:rPr>
        <w:t>Lo stato di salute dell’Ateneo è buono come dimostrato dai seguenti indicatori: UniMi non ha debiti ed ha un buon rapporto tra spese ed entrate.</w:t>
      </w:r>
    </w:p>
    <w:p w:rsidR="00A330C1" w:rsidRPr="00A330C1" w:rsidRDefault="00A330C1" w:rsidP="00A330C1">
      <w:pPr>
        <w:ind w:left="0" w:firstLine="0"/>
      </w:pPr>
      <w:r w:rsidRPr="00A330C1">
        <w:rPr>
          <w:noProof/>
        </w:rPr>
        <w:drawing>
          <wp:inline distT="0" distB="0" distL="0" distR="0" wp14:anchorId="1C54087D" wp14:editId="5ED67288">
            <wp:extent cx="6120130" cy="2198075"/>
            <wp:effectExtent l="0" t="0" r="0" b="0"/>
            <wp:docPr id="54" name="Immagin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0130" cy="2198075"/>
                    </a:xfrm>
                    <a:prstGeom prst="rect">
                      <a:avLst/>
                    </a:prstGeom>
                    <a:noFill/>
                    <a:ln>
                      <a:noFill/>
                    </a:ln>
                  </pic:spPr>
                </pic:pic>
              </a:graphicData>
            </a:graphic>
          </wp:inline>
        </w:drawing>
      </w:r>
    </w:p>
    <w:p w:rsidR="00A330C1" w:rsidRDefault="00A330C1" w:rsidP="00F801F7">
      <w:pPr>
        <w:ind w:left="0" w:firstLine="0"/>
      </w:pPr>
    </w:p>
    <w:p w:rsidR="00A330C1" w:rsidRDefault="00723714" w:rsidP="00F801F7">
      <w:pPr>
        <w:ind w:left="0" w:firstLine="0"/>
      </w:pPr>
      <w:r>
        <w:t>Per quanto riguarda le tasse studentesche, l’</w:t>
      </w:r>
      <w:r w:rsidRPr="00723714">
        <w:t>innalzamento della soglia di esenzione che è passata da 14 mila a 20 mila di reddito ISEE</w:t>
      </w:r>
      <w:r w:rsidR="0023518C">
        <w:t xml:space="preserve"> (e che ha spinto l’Associazione UDU ha ritirare il proprio ricorso)</w:t>
      </w:r>
      <w:r>
        <w:t>, ha</w:t>
      </w:r>
      <w:r w:rsidRPr="00723714">
        <w:t xml:space="preserve"> determinato un importante riduzione del gettito</w:t>
      </w:r>
      <w:r w:rsidR="00FD1AE4">
        <w:t xml:space="preserve"> (-7 milioni)</w:t>
      </w:r>
      <w:r w:rsidR="008D1735">
        <w:t>;</w:t>
      </w:r>
      <w:r w:rsidRPr="00723714">
        <w:t xml:space="preserve"> </w:t>
      </w:r>
      <w:r>
        <w:t>ma c’</w:t>
      </w:r>
      <w:r w:rsidRPr="00723714">
        <w:t>è anche da considerare che nel 2020 è stato rispettato pienamente il limite del 20% d</w:t>
      </w:r>
      <w:r>
        <w:t>ella tassazione rispetto al FFO (Fondo di Finanziamento Ordinario) stabilito dalla legge.</w:t>
      </w:r>
    </w:p>
    <w:p w:rsidR="00A330C1" w:rsidRDefault="00A330C1" w:rsidP="00F801F7">
      <w:pPr>
        <w:ind w:left="0" w:firstLine="0"/>
      </w:pPr>
    </w:p>
    <w:p w:rsidR="00A330C1" w:rsidRDefault="00723714" w:rsidP="00F801F7">
      <w:pPr>
        <w:ind w:left="0" w:firstLine="0"/>
      </w:pPr>
      <w:r>
        <w:t>S</w:t>
      </w:r>
      <w:r w:rsidRPr="00723714">
        <w:t>i è definitivamente conclusa la progettazione per la ristrutturazione dell’immobile di via Mercalli 23 che dal prossimo anno ospiterà le Direzioni amministrative attualmente collocate nell’immobile di via Sant’Antonio, intervento che comporterà nei prossimi anni il venir meno di un costoso contratto di locazione di più di 2 milioni di euro all’anno</w:t>
      </w:r>
      <w:r>
        <w:t>.</w:t>
      </w:r>
    </w:p>
    <w:p w:rsidR="00A330C1" w:rsidRDefault="00A330C1" w:rsidP="00F801F7">
      <w:pPr>
        <w:ind w:left="0" w:firstLine="0"/>
      </w:pPr>
    </w:p>
    <w:p w:rsidR="00A330C1" w:rsidRDefault="00723714" w:rsidP="00F801F7">
      <w:pPr>
        <w:ind w:left="0" w:firstLine="0"/>
      </w:pPr>
      <w:r>
        <w:t xml:space="preserve">Si è realizzata </w:t>
      </w:r>
      <w:r w:rsidRPr="00723714">
        <w:t>la riqualificazione tecnologica e funzionale di più di 50 aule didattiche per garantire, nell’immediato, lo svolgimento della didattica a distanza</w:t>
      </w:r>
      <w:r>
        <w:t>.</w:t>
      </w:r>
    </w:p>
    <w:p w:rsidR="00A330C1" w:rsidRDefault="00723714" w:rsidP="00F801F7">
      <w:pPr>
        <w:ind w:left="0" w:firstLine="0"/>
      </w:pPr>
      <w:r>
        <w:t>______</w:t>
      </w:r>
    </w:p>
    <w:p w:rsidR="00A330C1" w:rsidRDefault="00A330C1" w:rsidP="00F801F7">
      <w:pPr>
        <w:ind w:left="0" w:firstLine="0"/>
      </w:pPr>
    </w:p>
    <w:p w:rsidR="00CC4D54" w:rsidRPr="00CC4D54" w:rsidRDefault="00CC4D54" w:rsidP="00F801F7">
      <w:pPr>
        <w:ind w:left="0" w:firstLine="0"/>
        <w:rPr>
          <w:b/>
        </w:rPr>
      </w:pPr>
      <w:r w:rsidRPr="00CC4D54">
        <w:rPr>
          <w:b/>
        </w:rPr>
        <w:t>Utile</w:t>
      </w:r>
    </w:p>
    <w:p w:rsidR="00CC4D54" w:rsidRDefault="00CC4D54" w:rsidP="00F801F7">
      <w:pPr>
        <w:ind w:left="0" w:firstLine="0"/>
      </w:pPr>
    </w:p>
    <w:p w:rsidR="009D6C06" w:rsidRPr="00CC4D54" w:rsidRDefault="009D6C06" w:rsidP="00F801F7">
      <w:pPr>
        <w:ind w:left="0" w:firstLine="0"/>
        <w:rPr>
          <w:i/>
        </w:rPr>
      </w:pPr>
      <w:r w:rsidRPr="00CC4D54">
        <w:rPr>
          <w:i/>
        </w:rPr>
        <w:t>Legenda: M = milioni di euro</w:t>
      </w:r>
    </w:p>
    <w:p w:rsidR="00F801F7" w:rsidRPr="00F75C91" w:rsidRDefault="00F801F7" w:rsidP="00F801F7">
      <w:pPr>
        <w:ind w:left="0" w:firstLine="0"/>
      </w:pPr>
    </w:p>
    <w:p w:rsidR="00FD1AE4" w:rsidRPr="00844F91" w:rsidRDefault="00FD1AE4" w:rsidP="00F801F7">
      <w:pPr>
        <w:ind w:left="0" w:firstLine="0"/>
        <w:rPr>
          <w:color w:val="FF0000"/>
        </w:rPr>
      </w:pPr>
      <w:r w:rsidRPr="00844F91">
        <w:rPr>
          <w:color w:val="FF0000"/>
        </w:rPr>
        <w:t>Utile pienamente disponibile</w:t>
      </w:r>
      <w:r w:rsidR="00BA6604">
        <w:rPr>
          <w:color w:val="FF0000"/>
        </w:rPr>
        <w:t xml:space="preserve"> sul bilancio 2020 = 46,2 M, </w:t>
      </w:r>
      <w:r w:rsidRPr="00844F91">
        <w:rPr>
          <w:color w:val="FF0000"/>
        </w:rPr>
        <w:t>di cui 2</w:t>
      </w:r>
      <w:r w:rsidR="00BA6604">
        <w:rPr>
          <w:color w:val="FF0000"/>
        </w:rPr>
        <w:t>6,6 da svincolo contenzioso UDU (+23,5 M: nel 2019 furono 22,7 M)</w:t>
      </w:r>
      <w:r w:rsidRPr="00844F91">
        <w:rPr>
          <w:color w:val="FF0000"/>
        </w:rPr>
        <w:t>.</w:t>
      </w:r>
    </w:p>
    <w:p w:rsidR="0008078C" w:rsidRDefault="0008078C" w:rsidP="00F801F7">
      <w:pPr>
        <w:ind w:left="0" w:firstLine="0"/>
      </w:pPr>
      <w:r>
        <w:t>Utile al lordo delle poste vincolate</w:t>
      </w:r>
      <w:r w:rsidR="002F6ED0">
        <w:t xml:space="preserve"> </w:t>
      </w:r>
      <w:r>
        <w:t xml:space="preserve">= </w:t>
      </w:r>
      <w:r w:rsidR="00ED31C6">
        <w:t>71,8</w:t>
      </w:r>
      <w:r w:rsidR="00723714">
        <w:t xml:space="preserve"> </w:t>
      </w:r>
      <w:r w:rsidR="002F6ED0">
        <w:t xml:space="preserve">M </w:t>
      </w:r>
      <w:r w:rsidR="00ED31C6">
        <w:t>(+43,8</w:t>
      </w:r>
      <w:r>
        <w:t xml:space="preserve"> M: </w:t>
      </w:r>
      <w:r w:rsidR="00723714">
        <w:t xml:space="preserve">nel 2019 furono 28 M, </w:t>
      </w:r>
      <w:r>
        <w:t>nel 2018 furono 46</w:t>
      </w:r>
      <w:r w:rsidR="00ED31C6">
        <w:t>,3</w:t>
      </w:r>
      <w:r>
        <w:t xml:space="preserve"> M, nel 2017 furono 52</w:t>
      </w:r>
      <w:r w:rsidR="00ED31C6">
        <w:t>,7</w:t>
      </w:r>
      <w:r>
        <w:t xml:space="preserve"> M)</w:t>
      </w:r>
      <w:r w:rsidR="002F6ED0">
        <w:t>.</w:t>
      </w:r>
    </w:p>
    <w:p w:rsidR="002F6ED0" w:rsidRDefault="0023518C" w:rsidP="00F801F7">
      <w:pPr>
        <w:ind w:left="0" w:firstLine="0"/>
      </w:pPr>
      <w:r>
        <w:t>Proventi operativi = 554,9 M (+ 4</w:t>
      </w:r>
      <w:r w:rsidR="002F6ED0">
        <w:t xml:space="preserve"> M)</w:t>
      </w:r>
    </w:p>
    <w:p w:rsidR="002F6ED0" w:rsidRDefault="002F6ED0" w:rsidP="00F801F7">
      <w:pPr>
        <w:ind w:left="0" w:firstLine="0"/>
      </w:pPr>
      <w:r>
        <w:t xml:space="preserve">Costi operativi = </w:t>
      </w:r>
      <w:r w:rsidR="0023518C">
        <w:t>501,1 M (-18</w:t>
      </w:r>
      <w:r>
        <w:t>,7 M)</w:t>
      </w:r>
      <w:r w:rsidR="00AE6C0D">
        <w:t>*</w:t>
      </w:r>
    </w:p>
    <w:p w:rsidR="002F6ED0" w:rsidRDefault="002F6ED0" w:rsidP="00F801F7">
      <w:pPr>
        <w:ind w:left="0" w:firstLine="0"/>
      </w:pPr>
      <w:r>
        <w:t xml:space="preserve">Margine operativo (proventi operativi – costi operativi) </w:t>
      </w:r>
      <w:r w:rsidR="0023518C">
        <w:t>= 53,8 M (+22,8</w:t>
      </w:r>
      <w:r w:rsidR="00067F7D">
        <w:t xml:space="preserve"> M: </w:t>
      </w:r>
      <w:r w:rsidR="0023518C">
        <w:t xml:space="preserve">nel 2019 il margine fu di 31 M, </w:t>
      </w:r>
      <w:r w:rsidR="00067F7D">
        <w:t>nel 2018 il margine fu di</w:t>
      </w:r>
      <w:r>
        <w:t xml:space="preserve"> 41,3 M).</w:t>
      </w:r>
    </w:p>
    <w:p w:rsidR="00AE6C0D" w:rsidRDefault="00AE6C0D" w:rsidP="00F801F7">
      <w:pPr>
        <w:ind w:left="0" w:firstLine="0"/>
      </w:pPr>
    </w:p>
    <w:p w:rsidR="006754AE" w:rsidRPr="00844F91" w:rsidRDefault="00AE6C0D" w:rsidP="00F801F7">
      <w:pPr>
        <w:ind w:left="0" w:firstLine="0"/>
      </w:pPr>
      <w:r w:rsidRPr="00844F91">
        <w:t>*Il decremento di 18,7 milioni di euro dei costi è causato da:</w:t>
      </w:r>
    </w:p>
    <w:p w:rsidR="00AE6C0D" w:rsidRPr="00844F91" w:rsidRDefault="00AE6C0D" w:rsidP="00AE6C0D">
      <w:pPr>
        <w:numPr>
          <w:ilvl w:val="0"/>
          <w:numId w:val="22"/>
        </w:numPr>
      </w:pPr>
      <w:r w:rsidRPr="00844F91">
        <w:lastRenderedPageBreak/>
        <w:t>una riduzione di circa 7 milioni dei costi per la gestione corrente, ascrivibile prevalentemente alla riduzione degli acquisti per servizi e collaborazioni tecnico gestionali conseguenti alla contrazione delle attività che si è verificata durante l’emergenza pandemica, tutt’ora in corso;</w:t>
      </w:r>
    </w:p>
    <w:p w:rsidR="00AE6C0D" w:rsidRPr="00844F91" w:rsidRDefault="00AE6C0D" w:rsidP="00AE6C0D">
      <w:pPr>
        <w:numPr>
          <w:ilvl w:val="0"/>
          <w:numId w:val="22"/>
        </w:numPr>
      </w:pPr>
      <w:r w:rsidRPr="00844F91">
        <w:t>una riduzione di 10 milioni dei costi per accantonamenti a fondo rischi o oneri, sulla cui valutazione ha contribuito in maniera significativa il ritiro del ricorso da parte dell’associazione UDU e quindi il venir meno della necessità di disporre ulteriori accantonamenti.</w:t>
      </w:r>
    </w:p>
    <w:p w:rsidR="00AE6C0D" w:rsidRDefault="00AE6C0D" w:rsidP="00F801F7">
      <w:pPr>
        <w:ind w:left="0" w:firstLine="0"/>
      </w:pPr>
    </w:p>
    <w:p w:rsidR="002F6ED0" w:rsidRDefault="008D1735" w:rsidP="00F801F7">
      <w:pPr>
        <w:ind w:left="0" w:firstLine="0"/>
      </w:pPr>
      <w:r>
        <w:t>_________</w:t>
      </w:r>
    </w:p>
    <w:p w:rsidR="008D1735" w:rsidRDefault="008D1735" w:rsidP="00AE174B">
      <w:pPr>
        <w:ind w:left="0" w:firstLine="0"/>
      </w:pPr>
    </w:p>
    <w:p w:rsidR="00CC4D54" w:rsidRDefault="00CC4D54" w:rsidP="00AE174B">
      <w:pPr>
        <w:ind w:left="0" w:firstLine="0"/>
        <w:rPr>
          <w:b/>
        </w:rPr>
      </w:pPr>
      <w:r w:rsidRPr="00CC4D54">
        <w:rPr>
          <w:b/>
        </w:rPr>
        <w:t>FFO e costi retributivi</w:t>
      </w:r>
    </w:p>
    <w:p w:rsidR="00CC4D54" w:rsidRPr="00CC4D54" w:rsidRDefault="00CC4D54" w:rsidP="00AE174B">
      <w:pPr>
        <w:ind w:left="0" w:firstLine="0"/>
        <w:rPr>
          <w:b/>
        </w:rPr>
      </w:pPr>
    </w:p>
    <w:p w:rsidR="00AE174B" w:rsidRDefault="00AE174B" w:rsidP="00AE174B">
      <w:pPr>
        <w:ind w:left="0" w:firstLine="0"/>
      </w:pPr>
      <w:r>
        <w:t>Per quanto riguarda i proventi:</w:t>
      </w:r>
    </w:p>
    <w:p w:rsidR="00AE174B" w:rsidRDefault="00AE174B" w:rsidP="00AE174B">
      <w:pPr>
        <w:ind w:left="0" w:firstLine="0"/>
      </w:pPr>
      <w:r>
        <w:t xml:space="preserve">FFO </w:t>
      </w:r>
      <w:r w:rsidRPr="00AE174B">
        <w:t>(Fondo di Finanziamento Ordinario</w:t>
      </w:r>
      <w:r w:rsidR="008D1735">
        <w:t>, cioè il finanziamento pubblico che arriva dallo Stato</w:t>
      </w:r>
      <w:r w:rsidRPr="00AE174B">
        <w:t>)</w:t>
      </w:r>
      <w:r>
        <w:t xml:space="preserve"> non vincolato = 278,6 M (+5,7 M).</w:t>
      </w:r>
    </w:p>
    <w:p w:rsidR="00AE174B" w:rsidRPr="00AE174B" w:rsidRDefault="00AE174B" w:rsidP="00AE174B">
      <w:pPr>
        <w:ind w:left="0" w:firstLine="0"/>
      </w:pPr>
      <w:r w:rsidRPr="00AE174B">
        <w:t>FFO non vincolato a spese specifiche complessivo</w:t>
      </w:r>
      <w:r>
        <w:t xml:space="preserve"> (comprende interventi straordinari) = 285,8 M (+8,1 M).</w:t>
      </w:r>
    </w:p>
    <w:p w:rsidR="00AE174B" w:rsidRPr="00AE174B" w:rsidRDefault="00AE174B" w:rsidP="00AE174B">
      <w:pPr>
        <w:ind w:left="0" w:firstLine="0"/>
      </w:pPr>
      <w:r w:rsidRPr="00F43677">
        <w:rPr>
          <w:color w:val="auto"/>
        </w:rPr>
        <w:t xml:space="preserve">Importante crescita del finanziamento pubblico FFO (+ 8,1 milioni di euro nella parte non vincolata </w:t>
      </w:r>
      <w:r w:rsidRPr="00AE174B">
        <w:t>e +13,7 milioni nel suo complesso), in parte straordinaria ed in parte consolidata.</w:t>
      </w:r>
    </w:p>
    <w:p w:rsidR="00AE174B" w:rsidRPr="00E03E57" w:rsidRDefault="00AE174B" w:rsidP="00AE174B">
      <w:pPr>
        <w:ind w:left="0" w:firstLine="0"/>
        <w:rPr>
          <w:color w:val="auto"/>
        </w:rPr>
      </w:pPr>
      <w:r w:rsidRPr="00E03E57">
        <w:rPr>
          <w:color w:val="auto"/>
        </w:rPr>
        <w:t>Significativa riduzione di circa 7 milioni di euro dalla tassazione studentesca.</w:t>
      </w:r>
    </w:p>
    <w:p w:rsidR="00C13707" w:rsidRPr="00C13707" w:rsidRDefault="00C13707" w:rsidP="00AE174B">
      <w:pPr>
        <w:ind w:left="0" w:firstLine="0"/>
        <w:rPr>
          <w:i/>
          <w:color w:val="C00000"/>
        </w:rPr>
      </w:pPr>
      <w:r w:rsidRPr="00C13707">
        <w:rPr>
          <w:i/>
          <w:color w:val="C00000"/>
        </w:rPr>
        <w:t xml:space="preserve">Commento. Attenzione: le nuove politiche a favore degli studenti, non sono a costo zero. Questa </w:t>
      </w:r>
      <w:r>
        <w:rPr>
          <w:i/>
          <w:color w:val="C00000"/>
        </w:rPr>
        <w:t xml:space="preserve">importante </w:t>
      </w:r>
      <w:r w:rsidRPr="00C13707">
        <w:rPr>
          <w:i/>
          <w:color w:val="C00000"/>
        </w:rPr>
        <w:t>riduzione di introiti</w:t>
      </w:r>
      <w:r w:rsidR="00036EFB">
        <w:rPr>
          <w:i/>
          <w:color w:val="C00000"/>
        </w:rPr>
        <w:t xml:space="preserve"> dalla contribuzione studentesca</w:t>
      </w:r>
      <w:r>
        <w:rPr>
          <w:i/>
          <w:color w:val="C00000"/>
        </w:rPr>
        <w:t>,</w:t>
      </w:r>
      <w:r w:rsidRPr="00C13707">
        <w:rPr>
          <w:i/>
          <w:color w:val="C00000"/>
        </w:rPr>
        <w:t xml:space="preserve"> invita all’oculatezza nelle future scelte di spesa.</w:t>
      </w:r>
    </w:p>
    <w:p w:rsidR="00AE174B" w:rsidRDefault="00AE174B" w:rsidP="00AE174B">
      <w:pPr>
        <w:ind w:left="0" w:firstLine="0"/>
      </w:pPr>
    </w:p>
    <w:p w:rsidR="00AE174B" w:rsidRPr="00AE174B" w:rsidRDefault="00AE174B" w:rsidP="00AE174B">
      <w:pPr>
        <w:ind w:left="0" w:firstLine="0"/>
      </w:pPr>
      <w:r w:rsidRPr="00AE174B">
        <w:t>Per quanto riguarda i</w:t>
      </w:r>
      <w:r>
        <w:t xml:space="preserve"> costi:</w:t>
      </w:r>
    </w:p>
    <w:p w:rsidR="005B37AC" w:rsidRPr="00E03E57" w:rsidRDefault="005B37AC" w:rsidP="00F801F7">
      <w:pPr>
        <w:ind w:left="0" w:firstLine="0"/>
        <w:rPr>
          <w:color w:val="auto"/>
        </w:rPr>
      </w:pPr>
      <w:r w:rsidRPr="00E03E57">
        <w:rPr>
          <w:color w:val="auto"/>
        </w:rPr>
        <w:t xml:space="preserve">Costi del personale (sono costi retributivi posti a carico del FFO): +3,6 M. </w:t>
      </w:r>
    </w:p>
    <w:p w:rsidR="00FF7781" w:rsidRPr="00E03E57" w:rsidRDefault="005B37AC" w:rsidP="00F801F7">
      <w:pPr>
        <w:ind w:left="0" w:firstLine="0"/>
        <w:rPr>
          <w:color w:val="auto"/>
        </w:rPr>
      </w:pPr>
      <w:r w:rsidRPr="00E03E57">
        <w:rPr>
          <w:color w:val="auto"/>
        </w:rPr>
        <w:t xml:space="preserve">Aumento interamente riguardante il personale docente e ricercatore, essendo invariata la spesa riguardante il personale tecnico e amministrativo. </w:t>
      </w:r>
    </w:p>
    <w:p w:rsidR="00AE174B" w:rsidRPr="00036EFB" w:rsidRDefault="00FF7781" w:rsidP="00F801F7">
      <w:pPr>
        <w:ind w:left="0" w:firstLine="0"/>
        <w:rPr>
          <w:i/>
          <w:color w:val="C00000"/>
        </w:rPr>
      </w:pPr>
      <w:r w:rsidRPr="00036EFB">
        <w:rPr>
          <w:i/>
          <w:color w:val="C00000"/>
        </w:rPr>
        <w:t xml:space="preserve">Commento. </w:t>
      </w:r>
      <w:r w:rsidR="005B37AC" w:rsidRPr="00036EFB">
        <w:rPr>
          <w:i/>
          <w:color w:val="C00000"/>
        </w:rPr>
        <w:t>Questo perché</w:t>
      </w:r>
      <w:r w:rsidR="00BD2E50" w:rsidRPr="00036EFB">
        <w:rPr>
          <w:i/>
          <w:color w:val="C00000"/>
        </w:rPr>
        <w:t xml:space="preserve"> a suo tempo il Governo Gentiloni approvò che</w:t>
      </w:r>
      <w:r w:rsidR="005B37AC" w:rsidRPr="00036EFB">
        <w:rPr>
          <w:i/>
          <w:color w:val="C00000"/>
        </w:rPr>
        <w:t xml:space="preserve"> “a decorrere dall'anno 2020, il regime della progressione stipendiale triennale per classi dei professori e ricercatori universitari è stato trasformato in regime di progressione biennale per classi, a titolo di parziale compensazione del blocco degli scatti stipendiali disposto per il quinquennio 2011-2015”. Ricordo a tal proposito che per quanto riguarda il blocco degli stipendi del resto dei dipendenti pubblici italiani (tra cui il personale T.A.B. delle università), </w:t>
      </w:r>
      <w:r w:rsidR="00BD2E50" w:rsidRPr="00036EFB">
        <w:rPr>
          <w:i/>
          <w:color w:val="C00000"/>
        </w:rPr>
        <w:t xml:space="preserve">invece </w:t>
      </w:r>
      <w:r w:rsidR="005B37AC" w:rsidRPr="00036EFB">
        <w:rPr>
          <w:i/>
          <w:color w:val="C00000"/>
        </w:rPr>
        <w:t>non è stato disposta alcuna forma di compensazione</w:t>
      </w:r>
      <w:r w:rsidR="00BD2E50" w:rsidRPr="00036EFB">
        <w:rPr>
          <w:i/>
          <w:color w:val="C00000"/>
        </w:rPr>
        <w:t xml:space="preserve"> </w:t>
      </w:r>
      <w:r w:rsidR="005B37AC" w:rsidRPr="00036EFB">
        <w:rPr>
          <w:i/>
          <w:color w:val="C00000"/>
        </w:rPr>
        <w:t xml:space="preserve">per il quinquennale blocco degli stipendi varato a suo tempo dal Governo Berlusconi, blocco che la Corte Costituzionale dichiarò illegittimo </w:t>
      </w:r>
      <w:r w:rsidR="00BD2E50" w:rsidRPr="00036EFB">
        <w:rPr>
          <w:i/>
          <w:color w:val="C00000"/>
        </w:rPr>
        <w:t xml:space="preserve">solo </w:t>
      </w:r>
      <w:r w:rsidR="005B37AC" w:rsidRPr="00036EFB">
        <w:rPr>
          <w:i/>
          <w:color w:val="C00000"/>
        </w:rPr>
        <w:t>dopo ben 5 anni.</w:t>
      </w:r>
    </w:p>
    <w:p w:rsidR="00537C8C" w:rsidRPr="00E03E57" w:rsidRDefault="00537C8C" w:rsidP="00F801F7">
      <w:pPr>
        <w:ind w:left="0" w:firstLine="0"/>
        <w:rPr>
          <w:color w:val="auto"/>
        </w:rPr>
      </w:pPr>
      <w:r>
        <w:t>G</w:t>
      </w:r>
      <w:r w:rsidRPr="00537C8C">
        <w:t>li incrementi retributivi in generale, particolarmente onerosi per il personale docente rispetto a quelli del personale tecnico amministrativo, determinano una crescita fisiologica e “non governabile” della spesa del personale, solo in parte riconosciuta nel finanziamento pubblico.</w:t>
      </w:r>
      <w:r>
        <w:t xml:space="preserve"> </w:t>
      </w:r>
      <w:r w:rsidRPr="00E03E57">
        <w:rPr>
          <w:color w:val="auto"/>
        </w:rPr>
        <w:t>Cioè parte degli incrementi degli stipendi dei docenti, sono a carico del bilancio di UniMi</w:t>
      </w:r>
      <w:r w:rsidR="00CC4D54" w:rsidRPr="00E03E57">
        <w:rPr>
          <w:color w:val="auto"/>
        </w:rPr>
        <w:t>: 5,8 milioni di incrementi di cui solo 3,5 finanziati dal Ministero</w:t>
      </w:r>
      <w:r w:rsidRPr="00E03E57">
        <w:rPr>
          <w:color w:val="auto"/>
        </w:rPr>
        <w:t>.</w:t>
      </w:r>
    </w:p>
    <w:p w:rsidR="007D1F80" w:rsidRPr="007D1F80" w:rsidRDefault="007D1F80" w:rsidP="00F801F7">
      <w:pPr>
        <w:ind w:left="0" w:firstLine="0"/>
        <w:rPr>
          <w:i/>
          <w:color w:val="C00000"/>
        </w:rPr>
      </w:pPr>
      <w:r w:rsidRPr="007D1F80">
        <w:rPr>
          <w:i/>
          <w:color w:val="C00000"/>
        </w:rPr>
        <w:t>Commento. Si tenga anche conto della sostenibilità della spesa quando si procede ad assunzioni di nuovi docenti.</w:t>
      </w:r>
    </w:p>
    <w:p w:rsidR="00BD2E50" w:rsidRDefault="00BD2E50" w:rsidP="00537C8C">
      <w:pPr>
        <w:ind w:left="0" w:firstLine="0"/>
        <w:jc w:val="center"/>
      </w:pPr>
      <w:r>
        <w:rPr>
          <w:noProof/>
        </w:rPr>
        <w:lastRenderedPageBreak/>
        <w:drawing>
          <wp:inline distT="0" distB="0" distL="0" distR="0" wp14:anchorId="68BBB48C" wp14:editId="040A5DDE">
            <wp:extent cx="4922520" cy="3158699"/>
            <wp:effectExtent l="0" t="0" r="0" b="3810"/>
            <wp:docPr id="224" name="Immagin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27727" cy="3162040"/>
                    </a:xfrm>
                    <a:prstGeom prst="rect">
                      <a:avLst/>
                    </a:prstGeom>
                    <a:noFill/>
                  </pic:spPr>
                </pic:pic>
              </a:graphicData>
            </a:graphic>
          </wp:inline>
        </w:drawing>
      </w:r>
    </w:p>
    <w:p w:rsidR="008D1735" w:rsidRDefault="008D1735" w:rsidP="00F801F7">
      <w:pPr>
        <w:ind w:left="0" w:firstLine="0"/>
      </w:pPr>
      <w:r>
        <w:t>________</w:t>
      </w:r>
    </w:p>
    <w:p w:rsidR="008D1735" w:rsidRDefault="008D1735" w:rsidP="00F801F7">
      <w:pPr>
        <w:ind w:left="0" w:firstLine="0"/>
      </w:pPr>
    </w:p>
    <w:p w:rsidR="00BD2E50" w:rsidRDefault="00537C8C" w:rsidP="00F801F7">
      <w:pPr>
        <w:ind w:left="0" w:firstLine="0"/>
      </w:pPr>
      <w:r w:rsidRPr="00CC4D54">
        <w:rPr>
          <w:b/>
        </w:rPr>
        <w:t>Dinamiche tra andamento del FFO e tassazione studentesca</w:t>
      </w:r>
      <w:r>
        <w:t xml:space="preserve">: progressiva riduzione della tassazione a </w:t>
      </w:r>
      <w:r w:rsidRPr="00537C8C">
        <w:t>fronte di un contestuale incremento del finanziamento pubblico</w:t>
      </w:r>
      <w:r>
        <w:t>, come si evince dalla seguente tabella.</w:t>
      </w:r>
    </w:p>
    <w:p w:rsidR="00537C8C" w:rsidRDefault="00537C8C" w:rsidP="00537C8C">
      <w:pPr>
        <w:ind w:left="0" w:firstLine="0"/>
        <w:jc w:val="center"/>
      </w:pPr>
      <w:r>
        <w:rPr>
          <w:noProof/>
        </w:rPr>
        <w:drawing>
          <wp:inline distT="0" distB="0" distL="0" distR="0" wp14:anchorId="431B8D1A" wp14:editId="1300FE22">
            <wp:extent cx="4625340" cy="3131718"/>
            <wp:effectExtent l="0" t="0" r="3810" b="0"/>
            <wp:docPr id="227" name="Immagin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23118" cy="3130214"/>
                    </a:xfrm>
                    <a:prstGeom prst="rect">
                      <a:avLst/>
                    </a:prstGeom>
                    <a:noFill/>
                  </pic:spPr>
                </pic:pic>
              </a:graphicData>
            </a:graphic>
          </wp:inline>
        </w:drawing>
      </w:r>
    </w:p>
    <w:p w:rsidR="00CC4D54" w:rsidRDefault="00CC4D54" w:rsidP="00F801F7">
      <w:pPr>
        <w:ind w:left="0" w:firstLine="0"/>
      </w:pPr>
      <w:r>
        <w:t>R</w:t>
      </w:r>
      <w:r w:rsidRPr="00CC4D54">
        <w:t>ispettato pienamente il limite del 20% della tassazione rispetto al FFO</w:t>
      </w:r>
      <w:r>
        <w:t>.</w:t>
      </w:r>
      <w:r w:rsidRPr="00CC4D54">
        <w:t xml:space="preserve"> </w:t>
      </w:r>
    </w:p>
    <w:p w:rsidR="00537C8C" w:rsidRDefault="008D1735" w:rsidP="00F801F7">
      <w:pPr>
        <w:ind w:left="0" w:firstLine="0"/>
      </w:pPr>
      <w:r>
        <w:t>P</w:t>
      </w:r>
      <w:r w:rsidRPr="008D1735">
        <w:t xml:space="preserve">er l’A.A. 2019/2020 </w:t>
      </w:r>
      <w:r>
        <w:t xml:space="preserve">si </w:t>
      </w:r>
      <w:r w:rsidRPr="008D1735">
        <w:t>tiene anche conto dell’accertamento delle somme non riscosse ed effettivamente dovute dagli studenti, in corso di inoltro all’Agenzia delle Entrate, pari a circa 3 milioni di euro</w:t>
      </w:r>
      <w:r>
        <w:t xml:space="preserve"> (recupero crediti).</w:t>
      </w:r>
    </w:p>
    <w:p w:rsidR="00537C8C" w:rsidRDefault="008D1735" w:rsidP="00F801F7">
      <w:pPr>
        <w:ind w:left="0" w:firstLine="0"/>
      </w:pPr>
      <w:r>
        <w:t>_______</w:t>
      </w:r>
    </w:p>
    <w:p w:rsidR="00537C8C" w:rsidRDefault="00537C8C" w:rsidP="00F801F7">
      <w:pPr>
        <w:ind w:left="0" w:firstLine="0"/>
      </w:pPr>
    </w:p>
    <w:p w:rsidR="00CC4D54" w:rsidRPr="00CC4D54" w:rsidRDefault="00CC4D54" w:rsidP="00CC4D54">
      <w:pPr>
        <w:ind w:left="0" w:firstLine="0"/>
      </w:pPr>
      <w:r w:rsidRPr="00CC4D54">
        <w:t xml:space="preserve">Per quanto riguarda i </w:t>
      </w:r>
      <w:r w:rsidRPr="00CC4D54">
        <w:rPr>
          <w:b/>
        </w:rPr>
        <w:t>risparmi di gestione</w:t>
      </w:r>
      <w:r w:rsidRPr="00CC4D54">
        <w:t xml:space="preserve"> conseguiti sul bilancio 2020 anche per effetto delle prolungate chiusure imposte dalla pandemia, si evidenzia </w:t>
      </w:r>
      <w:r>
        <w:t xml:space="preserve">un risparmio di </w:t>
      </w:r>
      <w:r w:rsidRPr="00CC4D54">
        <w:t>6 milioni di euro circa</w:t>
      </w:r>
      <w:r>
        <w:t xml:space="preserve"> da</w:t>
      </w:r>
      <w:r w:rsidRPr="00CC4D54">
        <w:t xml:space="preserve"> ritenersi “straordinari</w:t>
      </w:r>
      <w:r>
        <w:t>o</w:t>
      </w:r>
      <w:r w:rsidRPr="00CC4D54">
        <w:t>” nell’impatto sul risultato finale di gestione:</w:t>
      </w:r>
    </w:p>
    <w:p w:rsidR="00CC4D54" w:rsidRPr="00CC4D54" w:rsidRDefault="00CC4D54" w:rsidP="00CC4D54">
      <w:pPr>
        <w:numPr>
          <w:ilvl w:val="0"/>
          <w:numId w:val="21"/>
        </w:numPr>
      </w:pPr>
      <w:r w:rsidRPr="00CC4D54">
        <w:t>- 2,6 milioni di risparmi sulle utenze per energia elettrica, acqua, gas e teleriscaldamento;</w:t>
      </w:r>
    </w:p>
    <w:p w:rsidR="00CC4D54" w:rsidRPr="00CC4D54" w:rsidRDefault="00CC4D54" w:rsidP="00CC4D54">
      <w:pPr>
        <w:numPr>
          <w:ilvl w:val="0"/>
          <w:numId w:val="21"/>
        </w:numPr>
      </w:pPr>
      <w:r w:rsidRPr="00CC4D54">
        <w:t>- 2,6 milioni di costi di manutenzione dell’infrastruttura edilizia;</w:t>
      </w:r>
    </w:p>
    <w:p w:rsidR="00CC4D54" w:rsidRPr="00CC4D54" w:rsidRDefault="00CC4D54" w:rsidP="00CC4D54">
      <w:pPr>
        <w:numPr>
          <w:ilvl w:val="0"/>
          <w:numId w:val="21"/>
        </w:numPr>
      </w:pPr>
      <w:r w:rsidRPr="00CC4D54">
        <w:t>- 563 mila euro di risparmi sui contratti di pulizia;</w:t>
      </w:r>
    </w:p>
    <w:p w:rsidR="00CC4D54" w:rsidRPr="00CC4D54" w:rsidRDefault="00CC4D54" w:rsidP="00CC4D54">
      <w:pPr>
        <w:numPr>
          <w:ilvl w:val="0"/>
          <w:numId w:val="21"/>
        </w:numPr>
      </w:pPr>
      <w:r w:rsidRPr="00CC4D54">
        <w:t>- 282 mila euro di costi per utenze e canoni per telefonia</w:t>
      </w:r>
    </w:p>
    <w:p w:rsidR="00CC4D54" w:rsidRPr="00E03E57" w:rsidRDefault="00CC4D54" w:rsidP="00CC4D54">
      <w:pPr>
        <w:ind w:left="0" w:firstLine="0"/>
        <w:rPr>
          <w:color w:val="auto"/>
        </w:rPr>
      </w:pPr>
      <w:r w:rsidRPr="00E03E57">
        <w:rPr>
          <w:color w:val="auto"/>
        </w:rPr>
        <w:t>A fronte di tali riduzioni è bene evidenziare, l’incremento dei costi per locazioni passive di complessivi 1,2 milioni di euro determinato dal nuovo contratto stipulato sul finire dell’anno 2019 per l’ampliamento delle residenze degli studenti.</w:t>
      </w:r>
    </w:p>
    <w:p w:rsidR="00CC4D54" w:rsidRPr="00CC4D54" w:rsidRDefault="00CC4D54" w:rsidP="00CC4D54">
      <w:pPr>
        <w:ind w:left="0" w:firstLine="0"/>
      </w:pPr>
      <w:r>
        <w:t>______</w:t>
      </w:r>
    </w:p>
    <w:p w:rsidR="00537C8C" w:rsidRDefault="00537C8C" w:rsidP="00F801F7">
      <w:pPr>
        <w:ind w:left="0" w:firstLine="0"/>
      </w:pPr>
    </w:p>
    <w:p w:rsidR="00537C8C" w:rsidRPr="0012466F" w:rsidRDefault="00C96598" w:rsidP="00F801F7">
      <w:pPr>
        <w:ind w:left="0" w:firstLine="0"/>
        <w:rPr>
          <w:b/>
        </w:rPr>
      </w:pPr>
      <w:r>
        <w:rPr>
          <w:b/>
        </w:rPr>
        <w:t>Piano strategico 2020/22: andamento anno 2020.</w:t>
      </w:r>
    </w:p>
    <w:p w:rsidR="0012466F" w:rsidRDefault="0012466F" w:rsidP="00F801F7">
      <w:pPr>
        <w:ind w:left="0" w:firstLine="0"/>
      </w:pPr>
    </w:p>
    <w:p w:rsidR="0012466F" w:rsidRPr="0012466F" w:rsidRDefault="0012466F" w:rsidP="0012466F">
      <w:pPr>
        <w:ind w:left="0" w:firstLine="0"/>
      </w:pPr>
      <w:r>
        <w:t>L</w:t>
      </w:r>
      <w:r w:rsidRPr="0012466F">
        <w:t>e risorse assegnate al Piano e complessivamente impiegate nell’anno 2020</w:t>
      </w:r>
      <w:r>
        <w:t xml:space="preserve"> sono state pari a circa il 44%.</w:t>
      </w:r>
      <w:r w:rsidRPr="0012466F">
        <w:t xml:space="preserve"> </w:t>
      </w:r>
      <w:r>
        <w:t>L</w:t>
      </w:r>
      <w:r w:rsidRPr="0012466F">
        <w:t xml:space="preserve">’emergenza pandemica scoppiata sul finire del mese di febbraio ha necessariamente imposto in corso d’anno una rivisitazione di obiettivi e target del Piano per contestualizzare le azioni concretamente attuabili, lasciando in ogni caso intatta la sua struttura e la sua articolazione. </w:t>
      </w:r>
    </w:p>
    <w:p w:rsidR="0012466F" w:rsidRPr="0012466F" w:rsidRDefault="0012466F" w:rsidP="0012466F">
      <w:pPr>
        <w:ind w:left="0" w:firstLine="0"/>
      </w:pPr>
      <w:r>
        <w:t>V</w:t>
      </w:r>
      <w:r w:rsidRPr="0012466F">
        <w:t>i sono indubbiamente ambiti, come la Ricerca e l’Internazionalizzazione, che sono stati maggiormente condizionati dalla situazione emergenziale a causa rispettivamente della prolungata chiusura delle strutture e dei laboratori e dagli impedimenti alla mobilità internazionale.</w:t>
      </w:r>
    </w:p>
    <w:p w:rsidR="00537C8C" w:rsidRDefault="0012466F" w:rsidP="0012466F">
      <w:pPr>
        <w:ind w:left="0" w:firstLine="0"/>
      </w:pPr>
      <w:r>
        <w:t xml:space="preserve">In </w:t>
      </w:r>
      <w:r w:rsidRPr="0012466F">
        <w:t xml:space="preserve"> alcuni casi la capacità di reinventare gli interventi con modalità alternative e magari meno costose non ha precluso un buon raggiungimento degli obiettivi sull’anno.</w:t>
      </w:r>
    </w:p>
    <w:p w:rsidR="00537C8C" w:rsidRDefault="00ED31C6" w:rsidP="00F801F7">
      <w:pPr>
        <w:ind w:left="0" w:firstLine="0"/>
      </w:pPr>
      <w:r>
        <w:t>________</w:t>
      </w:r>
    </w:p>
    <w:p w:rsidR="00ED31C6" w:rsidRDefault="00ED31C6" w:rsidP="00F801F7">
      <w:pPr>
        <w:ind w:left="0" w:firstLine="0"/>
      </w:pPr>
    </w:p>
    <w:p w:rsidR="00ED31C6" w:rsidRDefault="00ED31C6" w:rsidP="00F801F7">
      <w:pPr>
        <w:ind w:left="0" w:firstLine="0"/>
      </w:pPr>
      <w:r w:rsidRPr="00DC7F74">
        <w:rPr>
          <w:b/>
        </w:rPr>
        <w:t>Prospetti di bilancio</w:t>
      </w:r>
      <w:r>
        <w:t xml:space="preserve"> (pgg.33-37) </w:t>
      </w:r>
    </w:p>
    <w:p w:rsidR="00242481" w:rsidRDefault="00242481" w:rsidP="00F801F7">
      <w:pPr>
        <w:ind w:left="0" w:firstLine="0"/>
      </w:pPr>
    </w:p>
    <w:p w:rsidR="006754AE" w:rsidRPr="006754AE" w:rsidRDefault="006754AE" w:rsidP="006754AE">
      <w:pPr>
        <w:ind w:left="0" w:firstLine="0"/>
      </w:pPr>
      <w:r w:rsidRPr="006754AE">
        <w:t>Utile pienamente disponibile sul bilancio 2020 = 46,2 M (di cui 26,6 da svincolo contenzioso UDU).</w:t>
      </w:r>
    </w:p>
    <w:p w:rsidR="00FD1AE4" w:rsidRDefault="00FD1AE4" w:rsidP="00F801F7">
      <w:pPr>
        <w:ind w:left="0" w:firstLine="0"/>
      </w:pPr>
    </w:p>
    <w:p w:rsidR="006754AE" w:rsidRPr="00844F91" w:rsidRDefault="00ED31C6" w:rsidP="006754AE">
      <w:pPr>
        <w:ind w:left="0" w:firstLine="0"/>
        <w:rPr>
          <w:color w:val="FF0000"/>
        </w:rPr>
      </w:pPr>
      <w:r w:rsidRPr="00844F91">
        <w:rPr>
          <w:color w:val="FF0000"/>
        </w:rPr>
        <w:t>Per quanto riguarda la</w:t>
      </w:r>
      <w:r w:rsidR="006754AE" w:rsidRPr="00844F91">
        <w:rPr>
          <w:color w:val="FF0000"/>
        </w:rPr>
        <w:t xml:space="preserve"> possibile destinazione dell’utile non vincolato</w:t>
      </w:r>
      <w:r w:rsidR="00AE6C0D" w:rsidRPr="00844F91">
        <w:rPr>
          <w:color w:val="FF0000"/>
        </w:rPr>
        <w:t xml:space="preserve"> di 46,2 milioni di euro</w:t>
      </w:r>
      <w:r w:rsidRPr="00844F91">
        <w:rPr>
          <w:color w:val="FF0000"/>
        </w:rPr>
        <w:t xml:space="preserve"> (oggetto di delibera del C.d.A.)</w:t>
      </w:r>
      <w:r w:rsidR="006754AE" w:rsidRPr="00844F91">
        <w:rPr>
          <w:color w:val="FF0000"/>
        </w:rPr>
        <w:t>, si ricorda la necessità di assicurare quest’ anno e nei prossimi tre anni il completamento della copertura economica per l’acquisto degli arredi e delle attrezzature del Campus in area Mind, ad oggi finanziati solo parzialmente per 42</w:t>
      </w:r>
      <w:r w:rsidRPr="00844F91">
        <w:rPr>
          <w:color w:val="FF0000"/>
        </w:rPr>
        <w:t>,8 milioni di euro</w:t>
      </w:r>
      <w:r w:rsidR="006754AE" w:rsidRPr="00844F91">
        <w:rPr>
          <w:color w:val="FF0000"/>
        </w:rPr>
        <w:t xml:space="preserve"> </w:t>
      </w:r>
      <w:r w:rsidRPr="00844F91">
        <w:rPr>
          <w:color w:val="FF0000"/>
        </w:rPr>
        <w:t>(</w:t>
      </w:r>
      <w:r w:rsidR="006754AE" w:rsidRPr="00844F91">
        <w:rPr>
          <w:color w:val="FF0000"/>
        </w:rPr>
        <w:t xml:space="preserve">di cui </w:t>
      </w:r>
      <w:r w:rsidRPr="00844F91">
        <w:rPr>
          <w:color w:val="FF0000"/>
        </w:rPr>
        <w:t>20 M</w:t>
      </w:r>
      <w:r w:rsidR="006754AE" w:rsidRPr="00844F91">
        <w:rPr>
          <w:color w:val="FF0000"/>
        </w:rPr>
        <w:t xml:space="preserve"> provenienti dall’avanzo finanziario 2015 </w:t>
      </w:r>
      <w:r w:rsidRPr="00844F91">
        <w:rPr>
          <w:color w:val="FF0000"/>
        </w:rPr>
        <w:t>e 22,7 M</w:t>
      </w:r>
      <w:r w:rsidR="006754AE" w:rsidRPr="00844F91">
        <w:rPr>
          <w:color w:val="FF0000"/>
        </w:rPr>
        <w:t xml:space="preserve"> derivanti dall’integrale destinazione dell’utile 2019</w:t>
      </w:r>
      <w:r w:rsidRPr="00844F91">
        <w:rPr>
          <w:color w:val="FF0000"/>
        </w:rPr>
        <w:t>)</w:t>
      </w:r>
      <w:r w:rsidR="006754AE" w:rsidRPr="00844F91">
        <w:rPr>
          <w:color w:val="FF0000"/>
        </w:rPr>
        <w:t xml:space="preserve"> a fronte di un fabbisogno prudenzialmente stimato in 142 milioni di euro.</w:t>
      </w:r>
    </w:p>
    <w:p w:rsidR="00472DAE" w:rsidRDefault="00472DAE" w:rsidP="00F801F7">
      <w:pPr>
        <w:ind w:left="0" w:firstLine="0"/>
      </w:pPr>
      <w:r>
        <w:t>________</w:t>
      </w:r>
    </w:p>
    <w:p w:rsidR="00472DAE" w:rsidRDefault="00472DAE" w:rsidP="00472DAE">
      <w:pPr>
        <w:ind w:left="0" w:firstLine="0"/>
      </w:pPr>
    </w:p>
    <w:p w:rsidR="007D0696" w:rsidRDefault="00011818" w:rsidP="00472DAE">
      <w:pPr>
        <w:ind w:left="0" w:firstLine="0"/>
      </w:pPr>
      <w:r>
        <w:rPr>
          <w:b/>
        </w:rPr>
        <w:t>STATO PATRIMONIALE</w:t>
      </w:r>
      <w:r>
        <w:t xml:space="preserve"> </w:t>
      </w:r>
      <w:r w:rsidR="007D0696">
        <w:t>(pgg. 38-90)</w:t>
      </w:r>
      <w:r>
        <w:t>: alcune informazioni.</w:t>
      </w:r>
    </w:p>
    <w:p w:rsidR="00011818" w:rsidRDefault="00011818" w:rsidP="00472DAE">
      <w:pPr>
        <w:ind w:left="0" w:firstLine="0"/>
      </w:pPr>
    </w:p>
    <w:p w:rsidR="00472DAE" w:rsidRDefault="00472DAE" w:rsidP="00472DAE">
      <w:pPr>
        <w:ind w:left="0" w:firstLine="0"/>
      </w:pPr>
      <w:r>
        <w:t>Nel corso del 2020 UniMi ha riscosso i</w:t>
      </w:r>
      <w:r w:rsidRPr="00472DAE">
        <w:t xml:space="preserve">l primo acconto </w:t>
      </w:r>
      <w:r w:rsidR="007D0696">
        <w:t>(13 milioni</w:t>
      </w:r>
      <w:r w:rsidR="00011818">
        <w:t xml:space="preserve"> di euro</w:t>
      </w:r>
      <w:r w:rsidR="007D0696">
        <w:t xml:space="preserve">) </w:t>
      </w:r>
      <w:r w:rsidRPr="00472DAE">
        <w:t>del contributo accordato dalla Regione Lombardia per la realizzazione del Campus in area Mind</w:t>
      </w:r>
      <w:r w:rsidR="007D0696">
        <w:t xml:space="preserve"> (</w:t>
      </w:r>
      <w:r w:rsidRPr="00472DAE">
        <w:t>pari al 10% del contributo complessivo di 130 milioni di euro</w:t>
      </w:r>
      <w:r w:rsidR="007D0696">
        <w:t xml:space="preserve">) e il finanziamento pari a 4,9 milioni di euro a </w:t>
      </w:r>
      <w:r w:rsidR="007D0696" w:rsidRPr="007D0696">
        <w:t>copertura dei costi di progettazione per l’edificazione del Campus in area MIND</w:t>
      </w:r>
      <w:r w:rsidR="007D0696">
        <w:t>.</w:t>
      </w:r>
    </w:p>
    <w:p w:rsidR="00472DAE" w:rsidRDefault="00472DAE" w:rsidP="00472DAE">
      <w:pPr>
        <w:ind w:left="0" w:firstLine="0"/>
      </w:pPr>
    </w:p>
    <w:p w:rsidR="00472DAE" w:rsidRPr="00472DAE" w:rsidRDefault="00472DAE" w:rsidP="00472DAE">
      <w:pPr>
        <w:ind w:left="0" w:firstLine="0"/>
      </w:pPr>
      <w:r>
        <w:t xml:space="preserve">La </w:t>
      </w:r>
      <w:r w:rsidRPr="00472DAE">
        <w:t xml:space="preserve">Direzione Segreterie Studenti </w:t>
      </w:r>
      <w:r>
        <w:t xml:space="preserve">ha avviato </w:t>
      </w:r>
      <w:r w:rsidRPr="00472DAE">
        <w:t>le procedure di recupero crediti con l’Agenzia delle Entrate, disposte per gli studenti iscritti negli anni accademici 2017/2018, 2018/2019 e 2019/2020 che ha consentito di verificare puntualmente l’esigibilità dei diritti di credito vantati dall’Università e che ha comportato la rettifica delle posizioni debitorie degli studenti per 5,5 milioni di euro</w:t>
      </w:r>
      <w:r>
        <w:t>. Al momento sono in corso di recupero circa 3 milioni di euro.</w:t>
      </w:r>
    </w:p>
    <w:p w:rsidR="00011818" w:rsidRDefault="00011818" w:rsidP="00F801F7">
      <w:pPr>
        <w:ind w:left="0" w:firstLine="0"/>
      </w:pPr>
      <w:r>
        <w:t>________</w:t>
      </w:r>
    </w:p>
    <w:p w:rsidR="008566C3" w:rsidRDefault="008566C3" w:rsidP="00011818">
      <w:pPr>
        <w:ind w:left="0" w:firstLine="0"/>
        <w:jc w:val="both"/>
      </w:pPr>
    </w:p>
    <w:p w:rsidR="00F801F7" w:rsidRDefault="00F801F7" w:rsidP="00F801F7">
      <w:pPr>
        <w:ind w:left="0" w:firstLine="0"/>
        <w:rPr>
          <w:b/>
        </w:rPr>
      </w:pPr>
      <w:r w:rsidRPr="00C31C87">
        <w:rPr>
          <w:b/>
        </w:rPr>
        <w:t>CONTO ECONOMICO</w:t>
      </w:r>
      <w:r w:rsidR="007D0696">
        <w:rPr>
          <w:b/>
        </w:rPr>
        <w:t xml:space="preserve"> </w:t>
      </w:r>
      <w:r w:rsidR="007D0696">
        <w:t>(pgg. 91-</w:t>
      </w:r>
      <w:r w:rsidR="001B45FB">
        <w:t>122</w:t>
      </w:r>
      <w:r w:rsidR="007D0696">
        <w:t>)</w:t>
      </w:r>
      <w:r w:rsidRPr="00C31C87">
        <w:rPr>
          <w:b/>
        </w:rPr>
        <w:t>.</w:t>
      </w:r>
    </w:p>
    <w:p w:rsidR="00100A22" w:rsidRDefault="00100A22" w:rsidP="00F801F7">
      <w:pPr>
        <w:ind w:left="0" w:firstLine="0"/>
        <w:rPr>
          <w:b/>
        </w:rPr>
      </w:pPr>
    </w:p>
    <w:p w:rsidR="00F801F7" w:rsidRPr="00C31C87" w:rsidRDefault="00F801F7" w:rsidP="00F801F7">
      <w:pPr>
        <w:ind w:left="0" w:firstLine="0"/>
        <w:rPr>
          <w:b/>
        </w:rPr>
      </w:pPr>
      <w:r w:rsidRPr="00C31C87">
        <w:rPr>
          <w:b/>
        </w:rPr>
        <w:t>A) PROVENTI OPERATIVI</w:t>
      </w:r>
      <w:r w:rsidR="00091DC5">
        <w:rPr>
          <w:b/>
        </w:rPr>
        <w:t xml:space="preserve"> </w:t>
      </w:r>
      <w:r w:rsidR="00091DC5">
        <w:t>= 55</w:t>
      </w:r>
      <w:r w:rsidR="009B6196">
        <w:t>4,9 M (+4</w:t>
      </w:r>
      <w:r w:rsidR="00091DC5">
        <w:t>).</w:t>
      </w:r>
    </w:p>
    <w:p w:rsidR="00F801F7" w:rsidRPr="00C31C87" w:rsidRDefault="00F801F7" w:rsidP="00F801F7">
      <w:pPr>
        <w:ind w:left="0" w:firstLine="0"/>
        <w:rPr>
          <w:b/>
        </w:rPr>
      </w:pPr>
    </w:p>
    <w:p w:rsidR="00F801F7" w:rsidRPr="00C31C87" w:rsidRDefault="00F801F7" w:rsidP="00F801F7">
      <w:pPr>
        <w:ind w:left="0" w:firstLine="0"/>
        <w:rPr>
          <w:b/>
        </w:rPr>
      </w:pPr>
      <w:r w:rsidRPr="00C31C87">
        <w:rPr>
          <w:b/>
        </w:rPr>
        <w:t xml:space="preserve">I) PROVENTI PROPRI </w:t>
      </w:r>
      <w:r w:rsidR="006A31EF">
        <w:t xml:space="preserve">(pgg. </w:t>
      </w:r>
      <w:r w:rsidR="009B6196">
        <w:t>92</w:t>
      </w:r>
      <w:r w:rsidR="00DD4821">
        <w:t>-</w:t>
      </w:r>
      <w:r w:rsidR="009B6196">
        <w:t>99</w:t>
      </w:r>
      <w:r w:rsidRPr="00FF79C4">
        <w:t>)</w:t>
      </w:r>
      <w:r w:rsidR="009B6196">
        <w:t xml:space="preserve"> = 144,3 M (-13,8</w:t>
      </w:r>
      <w:r w:rsidR="00DD4821">
        <w:t>)</w:t>
      </w:r>
      <w:r w:rsidRPr="00FF79C4">
        <w:t>.</w:t>
      </w:r>
    </w:p>
    <w:p w:rsidR="00F801F7" w:rsidRPr="001C6802" w:rsidRDefault="00F801F7" w:rsidP="00F801F7">
      <w:pPr>
        <w:ind w:left="0" w:firstLine="0"/>
      </w:pPr>
      <w:r w:rsidRPr="001C6802">
        <w:rPr>
          <w:b/>
        </w:rPr>
        <w:t>1) Proventi per la didattica</w:t>
      </w:r>
      <w:r w:rsidR="001C6802" w:rsidRPr="001C6802">
        <w:t xml:space="preserve"> = 95,1</w:t>
      </w:r>
      <w:r w:rsidR="00DD4821" w:rsidRPr="001C6802">
        <w:t xml:space="preserve"> </w:t>
      </w:r>
      <w:r w:rsidRPr="001C6802">
        <w:t>M</w:t>
      </w:r>
      <w:r w:rsidR="00BA652D" w:rsidRPr="001C6802">
        <w:t xml:space="preserve"> </w:t>
      </w:r>
      <w:r w:rsidR="001C6802" w:rsidRPr="001C6802">
        <w:t>(-7,7</w:t>
      </w:r>
      <w:r w:rsidR="00DD4821" w:rsidRPr="001C6802">
        <w:t>)</w:t>
      </w:r>
      <w:r w:rsidRPr="001C6802">
        <w:t xml:space="preserve">: </w:t>
      </w:r>
    </w:p>
    <w:p w:rsidR="00F801F7" w:rsidRPr="001C6802" w:rsidRDefault="00BC1DD2" w:rsidP="003232AD">
      <w:pPr>
        <w:pStyle w:val="Paragrafoelenco"/>
        <w:numPr>
          <w:ilvl w:val="0"/>
          <w:numId w:val="5"/>
        </w:numPr>
      </w:pPr>
      <w:r w:rsidRPr="001C6802">
        <w:t>C</w:t>
      </w:r>
      <w:r w:rsidR="00F801F7" w:rsidRPr="001C6802">
        <w:t>ontribuzione studentesca (seconde rate)</w:t>
      </w:r>
      <w:r w:rsidR="001C6802" w:rsidRPr="001C6802">
        <w:t xml:space="preserve"> 82,3 M (-9,2): un calo di 5,8</w:t>
      </w:r>
      <w:r w:rsidR="00DD4821" w:rsidRPr="001C6802">
        <w:t xml:space="preserve"> M dei contributi degli studenti in corso </w:t>
      </w:r>
      <w:r w:rsidR="001C6802" w:rsidRPr="001C6802">
        <w:t>e uno di 3,1</w:t>
      </w:r>
      <w:r w:rsidR="00DD4821" w:rsidRPr="001C6802">
        <w:t xml:space="preserve"> M di quelli fuori corso.</w:t>
      </w:r>
      <w:r w:rsidR="001C6802">
        <w:t xml:space="preserve"> Il dato non è definitivo. Il calo è principalmente imputabile al nuovo sistema di tassazione che </w:t>
      </w:r>
      <w:r w:rsidR="001C6802" w:rsidRPr="001C6802">
        <w:t>ha previsto un’area di esenzione fino a 20 mila euro di reddito ISEE</w:t>
      </w:r>
      <w:r w:rsidR="001C6802">
        <w:t>, in vigore dall’a.a. 2020/21.</w:t>
      </w:r>
    </w:p>
    <w:p w:rsidR="00F801F7" w:rsidRPr="001C6802" w:rsidRDefault="00F801F7" w:rsidP="00F801F7">
      <w:pPr>
        <w:ind w:left="0" w:firstLine="0"/>
      </w:pPr>
      <w:r w:rsidRPr="001C6802">
        <w:rPr>
          <w:b/>
        </w:rPr>
        <w:t>2) Proventi da ricerche commissionate e trasferimento tecnologico</w:t>
      </w:r>
      <w:r w:rsidR="001C6802" w:rsidRPr="001C6802">
        <w:t xml:space="preserve"> = 10,3 M (-2</w:t>
      </w:r>
      <w:r w:rsidRPr="001C6802">
        <w:t>):</w:t>
      </w:r>
    </w:p>
    <w:p w:rsidR="00F801F7" w:rsidRPr="00956877" w:rsidRDefault="00BC1DD2" w:rsidP="003232AD">
      <w:pPr>
        <w:pStyle w:val="Paragrafoelenco"/>
        <w:numPr>
          <w:ilvl w:val="0"/>
          <w:numId w:val="5"/>
        </w:numPr>
      </w:pPr>
      <w:r w:rsidRPr="00956877">
        <w:t>R</w:t>
      </w:r>
      <w:r w:rsidR="00F801F7" w:rsidRPr="00956877">
        <w:t>icerca commissionata</w:t>
      </w:r>
      <w:r w:rsidR="001C6802" w:rsidRPr="00956877">
        <w:t xml:space="preserve"> 3,6</w:t>
      </w:r>
      <w:r w:rsidR="00AC755C" w:rsidRPr="00956877">
        <w:t xml:space="preserve"> </w:t>
      </w:r>
      <w:r w:rsidR="00F801F7" w:rsidRPr="00956877">
        <w:t>M (</w:t>
      </w:r>
      <w:r w:rsidR="001C6802" w:rsidRPr="00956877">
        <w:t>-0,7</w:t>
      </w:r>
      <w:r w:rsidR="00F801F7" w:rsidRPr="00956877">
        <w:t xml:space="preserve">); </w:t>
      </w:r>
    </w:p>
    <w:p w:rsidR="00F801F7" w:rsidRPr="00956877" w:rsidRDefault="00BC1DD2" w:rsidP="003232AD">
      <w:pPr>
        <w:pStyle w:val="Paragrafoelenco"/>
        <w:numPr>
          <w:ilvl w:val="0"/>
          <w:numId w:val="5"/>
        </w:numPr>
      </w:pPr>
      <w:r w:rsidRPr="00956877">
        <w:t>P</w:t>
      </w:r>
      <w:r w:rsidR="00F801F7" w:rsidRPr="00956877">
        <w:t xml:space="preserve">restazioni a tariffario </w:t>
      </w:r>
      <w:r w:rsidR="001C6802" w:rsidRPr="00956877">
        <w:t>3,6</w:t>
      </w:r>
      <w:r w:rsidR="00F21A4E" w:rsidRPr="00956877">
        <w:t xml:space="preserve"> </w:t>
      </w:r>
      <w:r w:rsidR="00F801F7" w:rsidRPr="00956877">
        <w:t>M (</w:t>
      </w:r>
      <w:r w:rsidR="001C6802" w:rsidRPr="00956877">
        <w:t>-1,1</w:t>
      </w:r>
      <w:r w:rsidR="00F801F7" w:rsidRPr="00956877">
        <w:t xml:space="preserve">); </w:t>
      </w:r>
    </w:p>
    <w:p w:rsidR="00F801F7" w:rsidRPr="00956877" w:rsidRDefault="00BC1DD2" w:rsidP="003232AD">
      <w:pPr>
        <w:pStyle w:val="Paragrafoelenco"/>
        <w:numPr>
          <w:ilvl w:val="0"/>
          <w:numId w:val="5"/>
        </w:numPr>
      </w:pPr>
      <w:r w:rsidRPr="00956877">
        <w:t>C</w:t>
      </w:r>
      <w:r w:rsidR="00F801F7" w:rsidRPr="00956877">
        <w:t xml:space="preserve">onsulenze </w:t>
      </w:r>
      <w:r w:rsidR="00956877" w:rsidRPr="00956877">
        <w:t>2,5</w:t>
      </w:r>
      <w:r w:rsidR="00F801F7" w:rsidRPr="00956877">
        <w:t xml:space="preserve"> (</w:t>
      </w:r>
      <w:r w:rsidR="00956877" w:rsidRPr="00956877">
        <w:t>-0,3</w:t>
      </w:r>
      <w:r w:rsidR="00F801F7" w:rsidRPr="00956877">
        <w:t>).</w:t>
      </w:r>
    </w:p>
    <w:p w:rsidR="00F801F7" w:rsidRDefault="00AC755C" w:rsidP="003232AD">
      <w:r w:rsidRPr="00956877">
        <w:t>Contro terzi: a</w:t>
      </w:r>
      <w:r w:rsidR="00F801F7" w:rsidRPr="00956877">
        <w:t xml:space="preserve"> favore del bilancio</w:t>
      </w:r>
      <w:r w:rsidRPr="00956877">
        <w:t xml:space="preserve"> </w:t>
      </w:r>
      <w:r w:rsidR="00F801F7" w:rsidRPr="00956877">
        <w:t xml:space="preserve">= </w:t>
      </w:r>
      <w:r w:rsidR="00956877" w:rsidRPr="00956877">
        <w:t>1,5 M (-700</w:t>
      </w:r>
      <w:r w:rsidR="00F801F7" w:rsidRPr="00956877">
        <w:t>.000</w:t>
      </w:r>
      <w:r w:rsidRPr="00956877">
        <w:t xml:space="preserve"> </w:t>
      </w:r>
      <w:r w:rsidR="00F801F7" w:rsidRPr="00956877">
        <w:t>€</w:t>
      </w:r>
      <w:r w:rsidRPr="00956877">
        <w:t>)</w:t>
      </w:r>
      <w:r w:rsidR="00F801F7" w:rsidRPr="00956877">
        <w:t>;</w:t>
      </w:r>
      <w:r w:rsidRPr="00956877">
        <w:t xml:space="preserve"> a favore individua</w:t>
      </w:r>
      <w:r w:rsidR="00956877" w:rsidRPr="00956877">
        <w:t>le dei professori ordinari = 944.000 € (+46</w:t>
      </w:r>
      <w:r w:rsidRPr="00956877">
        <w:t xml:space="preserve">.000); </w:t>
      </w:r>
      <w:r w:rsidR="00956877" w:rsidRPr="00956877">
        <w:t xml:space="preserve">a favore individuale dei professori associati = 553.000 € (-215.000); a favore individuale dei ricercatori = 357.000 € (-1.000); </w:t>
      </w:r>
      <w:r w:rsidRPr="00956877">
        <w:t xml:space="preserve">a </w:t>
      </w:r>
      <w:r w:rsidR="00956877" w:rsidRPr="00956877">
        <w:t>favore individuale dei PTA = 679</w:t>
      </w:r>
      <w:r w:rsidRPr="00956877">
        <w:t xml:space="preserve">.000 </w:t>
      </w:r>
      <w:r w:rsidR="00F801F7" w:rsidRPr="00956877">
        <w:t>€</w:t>
      </w:r>
      <w:r w:rsidR="00956877" w:rsidRPr="00956877">
        <w:t xml:space="preserve"> (-63</w:t>
      </w:r>
      <w:r w:rsidRPr="00956877">
        <w:t>.000)</w:t>
      </w:r>
      <w:r w:rsidR="00F801F7" w:rsidRPr="00956877">
        <w:t>.</w:t>
      </w:r>
    </w:p>
    <w:p w:rsidR="00956877" w:rsidRPr="002D1390" w:rsidRDefault="00FF7781" w:rsidP="003232AD">
      <w:pPr>
        <w:rPr>
          <w:i/>
          <w:color w:val="C00000"/>
        </w:rPr>
      </w:pPr>
      <w:r w:rsidRPr="002D1390">
        <w:rPr>
          <w:i/>
          <w:color w:val="C00000"/>
        </w:rPr>
        <w:t xml:space="preserve">Commento. </w:t>
      </w:r>
      <w:r w:rsidR="00956877" w:rsidRPr="002D1390">
        <w:rPr>
          <w:i/>
          <w:color w:val="C00000"/>
        </w:rPr>
        <w:t>Del</w:t>
      </w:r>
      <w:r w:rsidR="0010125C" w:rsidRPr="002D1390">
        <w:rPr>
          <w:i/>
          <w:color w:val="C00000"/>
        </w:rPr>
        <w:t>l’entrata da</w:t>
      </w:r>
      <w:r w:rsidR="00956877" w:rsidRPr="002D1390">
        <w:rPr>
          <w:i/>
          <w:color w:val="C00000"/>
        </w:rPr>
        <w:t xml:space="preserve"> conto terzi che va al bilancio d’ateneo</w:t>
      </w:r>
      <w:r w:rsidR="002A2226">
        <w:rPr>
          <w:i/>
          <w:color w:val="C00000"/>
        </w:rPr>
        <w:t xml:space="preserve"> (fino al 15%)</w:t>
      </w:r>
      <w:r w:rsidR="00956877" w:rsidRPr="002D1390">
        <w:rPr>
          <w:i/>
          <w:color w:val="C00000"/>
        </w:rPr>
        <w:t xml:space="preserve">, il 45% alimenta il Fondo Comune d’Ateneo (F.C.A.) che mensilmente viene distribuito al personale T.A.B. di categorie B-C-D. Perciò il calo </w:t>
      </w:r>
      <w:r w:rsidR="00844F91" w:rsidRPr="002D1390">
        <w:rPr>
          <w:i/>
          <w:color w:val="C00000"/>
        </w:rPr>
        <w:t>dell’introito che alimenta il</w:t>
      </w:r>
      <w:r w:rsidR="00956877" w:rsidRPr="002D1390">
        <w:rPr>
          <w:i/>
          <w:color w:val="C00000"/>
        </w:rPr>
        <w:t xml:space="preserve"> F.C.A. è stato di 320.000 €: questo </w:t>
      </w:r>
      <w:r w:rsidR="00B63BF7">
        <w:rPr>
          <w:i/>
          <w:color w:val="C00000"/>
        </w:rPr>
        <w:t>potrebbe portare</w:t>
      </w:r>
      <w:r w:rsidR="00B63BF7" w:rsidRPr="008204CC">
        <w:rPr>
          <w:i/>
          <w:color w:val="C00000"/>
        </w:rPr>
        <w:t xml:space="preserve"> </w:t>
      </w:r>
      <w:r w:rsidR="00956877" w:rsidRPr="002D1390">
        <w:rPr>
          <w:i/>
          <w:color w:val="C00000"/>
        </w:rPr>
        <w:t xml:space="preserve">ad una riduzione del conguaglio 2020 del F.C.A. che normalmente viene distribuito nel </w:t>
      </w:r>
      <w:r w:rsidR="00DD7916" w:rsidRPr="002D1390">
        <w:rPr>
          <w:i/>
          <w:color w:val="C00000"/>
        </w:rPr>
        <w:t>corso del</w:t>
      </w:r>
      <w:r w:rsidR="00956877" w:rsidRPr="002D1390">
        <w:rPr>
          <w:i/>
          <w:color w:val="C00000"/>
        </w:rPr>
        <w:t xml:space="preserve"> 2021.</w:t>
      </w:r>
    </w:p>
    <w:p w:rsidR="00844F91" w:rsidRPr="002D1390" w:rsidRDefault="0010125C" w:rsidP="003232AD">
      <w:pPr>
        <w:rPr>
          <w:i/>
          <w:color w:val="C00000"/>
        </w:rPr>
      </w:pPr>
      <w:r w:rsidRPr="002D1390">
        <w:rPr>
          <w:i/>
          <w:color w:val="C00000"/>
        </w:rPr>
        <w:t>Come richiesto dalla CGIL, è</w:t>
      </w:r>
      <w:r w:rsidR="00844F91" w:rsidRPr="002D1390">
        <w:rPr>
          <w:i/>
          <w:color w:val="C00000"/>
        </w:rPr>
        <w:t xml:space="preserve"> necessario un aumento </w:t>
      </w:r>
      <w:r w:rsidR="00F95FCF" w:rsidRPr="002D1390">
        <w:rPr>
          <w:i/>
          <w:color w:val="C00000"/>
        </w:rPr>
        <w:t>della quota di conto terzi che dal bilancio va ad alimentare il F.C.A.: ad esempio elevandola, dall’attuale 45%, al 80%.</w:t>
      </w:r>
    </w:p>
    <w:p w:rsidR="00F95FCF" w:rsidRDefault="00F801F7" w:rsidP="00F801F7">
      <w:pPr>
        <w:ind w:left="0" w:firstLine="0"/>
      </w:pPr>
      <w:r w:rsidRPr="001C6802">
        <w:rPr>
          <w:b/>
        </w:rPr>
        <w:t>3) Proventi da ricerche con finanziamenti competitivi</w:t>
      </w:r>
      <w:r w:rsidR="001C6802">
        <w:t xml:space="preserve"> = 38,8 M (-4</w:t>
      </w:r>
      <w:r w:rsidRPr="001C6802">
        <w:t>)</w:t>
      </w:r>
      <w:r w:rsidR="00F95FCF">
        <w:t xml:space="preserve">. </w:t>
      </w:r>
    </w:p>
    <w:p w:rsidR="00F801F7" w:rsidRPr="001C6802" w:rsidRDefault="00F95FCF" w:rsidP="00F801F7">
      <w:pPr>
        <w:ind w:left="0" w:firstLine="0"/>
      </w:pPr>
      <w:r>
        <w:t xml:space="preserve">Riduzione del 10%, </w:t>
      </w:r>
      <w:r w:rsidRPr="00F95FCF">
        <w:t>in particolar modo ascrivibile</w:t>
      </w:r>
      <w:r>
        <w:t xml:space="preserve"> ai progetti finanziati dall’Unione Europea</w:t>
      </w:r>
      <w:r w:rsidR="00F801F7" w:rsidRPr="001C6802">
        <w:t xml:space="preserve">: </w:t>
      </w:r>
    </w:p>
    <w:p w:rsidR="00F801F7" w:rsidRPr="00F95FCF" w:rsidRDefault="00F801F7" w:rsidP="003232AD">
      <w:pPr>
        <w:pStyle w:val="Paragrafoelenco"/>
        <w:numPr>
          <w:ilvl w:val="0"/>
          <w:numId w:val="6"/>
        </w:numPr>
      </w:pPr>
      <w:r w:rsidRPr="00F95FCF">
        <w:t>PRIN</w:t>
      </w:r>
      <w:r w:rsidR="00C02493" w:rsidRPr="00F95FCF">
        <w:t xml:space="preserve"> </w:t>
      </w:r>
      <w:r w:rsidR="00F95FCF" w:rsidRPr="00F95FCF">
        <w:t>3,1</w:t>
      </w:r>
      <w:r w:rsidR="00DA41AF" w:rsidRPr="00F95FCF">
        <w:t xml:space="preserve"> </w:t>
      </w:r>
      <w:r w:rsidR="00F95FCF" w:rsidRPr="00F95FCF">
        <w:t>M (+1,3</w:t>
      </w:r>
      <w:r w:rsidRPr="00F95FCF">
        <w:t xml:space="preserve">); </w:t>
      </w:r>
    </w:p>
    <w:p w:rsidR="00F801F7" w:rsidRPr="00F95FCF" w:rsidRDefault="00F95FCF" w:rsidP="003232AD">
      <w:pPr>
        <w:pStyle w:val="Paragrafoelenco"/>
        <w:numPr>
          <w:ilvl w:val="0"/>
          <w:numId w:val="6"/>
        </w:numPr>
      </w:pPr>
      <w:r w:rsidRPr="00F95FCF">
        <w:t>Regione Lombardia 3,4</w:t>
      </w:r>
      <w:r w:rsidR="00DA41AF" w:rsidRPr="00F95FCF">
        <w:t xml:space="preserve"> M (</w:t>
      </w:r>
      <w:r w:rsidRPr="00F95FCF">
        <w:t>+0,7</w:t>
      </w:r>
      <w:r w:rsidR="00F801F7" w:rsidRPr="00F95FCF">
        <w:t xml:space="preserve">); </w:t>
      </w:r>
    </w:p>
    <w:p w:rsidR="00F801F7" w:rsidRPr="00F95FCF" w:rsidRDefault="00DA41AF" w:rsidP="003232AD">
      <w:pPr>
        <w:pStyle w:val="Paragrafoelenco"/>
        <w:numPr>
          <w:ilvl w:val="0"/>
          <w:numId w:val="6"/>
        </w:numPr>
      </w:pPr>
      <w:r w:rsidRPr="00F95FCF">
        <w:t>UE</w:t>
      </w:r>
      <w:r w:rsidR="00F95FCF" w:rsidRPr="00F95FCF">
        <w:t xml:space="preserve"> (capofila UniMi) 13 M (-3,3</w:t>
      </w:r>
      <w:r w:rsidR="00F801F7" w:rsidRPr="00F95FCF">
        <w:t xml:space="preserve">); </w:t>
      </w:r>
    </w:p>
    <w:p w:rsidR="00F801F7" w:rsidRPr="00F95FCF" w:rsidRDefault="00F95FCF" w:rsidP="003232AD">
      <w:pPr>
        <w:pStyle w:val="Paragrafoelenco"/>
        <w:numPr>
          <w:ilvl w:val="0"/>
          <w:numId w:val="6"/>
        </w:numPr>
      </w:pPr>
      <w:r w:rsidRPr="00F95FCF">
        <w:t>UE (capofila ente ricerca) 4,5 M (-1,3</w:t>
      </w:r>
      <w:r w:rsidR="00F801F7" w:rsidRPr="00F95FCF">
        <w:t xml:space="preserve">); </w:t>
      </w:r>
    </w:p>
    <w:p w:rsidR="00DA41AF" w:rsidRPr="00F95FCF" w:rsidRDefault="00F95FCF" w:rsidP="003232AD">
      <w:pPr>
        <w:pStyle w:val="Paragrafoelenco"/>
        <w:numPr>
          <w:ilvl w:val="0"/>
          <w:numId w:val="6"/>
        </w:numPr>
      </w:pPr>
      <w:r w:rsidRPr="00F95FCF">
        <w:t>UE (capofila altro ateneo) 1,1 M (-0,3</w:t>
      </w:r>
      <w:r w:rsidR="00DA41AF" w:rsidRPr="00F95FCF">
        <w:t xml:space="preserve">); </w:t>
      </w:r>
    </w:p>
    <w:p w:rsidR="00F801F7" w:rsidRPr="00F95FCF" w:rsidRDefault="00F95FCF" w:rsidP="003232AD">
      <w:pPr>
        <w:pStyle w:val="Paragrafoelenco"/>
        <w:numPr>
          <w:ilvl w:val="0"/>
          <w:numId w:val="6"/>
        </w:numPr>
      </w:pPr>
      <w:r w:rsidRPr="00F95FCF">
        <w:t>Fondazione Cariplo 3,2 M (-0,6</w:t>
      </w:r>
      <w:r w:rsidR="00F801F7" w:rsidRPr="00F95FCF">
        <w:t xml:space="preserve">); </w:t>
      </w:r>
    </w:p>
    <w:p w:rsidR="00F801F7" w:rsidRPr="00F95FCF" w:rsidRDefault="00F801F7" w:rsidP="003232AD">
      <w:pPr>
        <w:pStyle w:val="Paragrafoelenco"/>
        <w:numPr>
          <w:ilvl w:val="0"/>
          <w:numId w:val="6"/>
        </w:numPr>
      </w:pPr>
      <w:r w:rsidRPr="00F95FCF">
        <w:t>Altre fondazioni 1</w:t>
      </w:r>
      <w:r w:rsidR="00F95FCF" w:rsidRPr="00F95FCF">
        <w:t>,4</w:t>
      </w:r>
      <w:r w:rsidR="00DA41AF" w:rsidRPr="00F95FCF">
        <w:t xml:space="preserve"> M (</w:t>
      </w:r>
      <w:r w:rsidR="00F95FCF" w:rsidRPr="00F95FCF">
        <w:t>+0,3</w:t>
      </w:r>
      <w:r w:rsidRPr="00F95FCF">
        <w:t>);</w:t>
      </w:r>
    </w:p>
    <w:p w:rsidR="00F801F7" w:rsidRDefault="00F95FCF" w:rsidP="003232AD">
      <w:pPr>
        <w:pStyle w:val="Paragrafoelenco"/>
        <w:numPr>
          <w:ilvl w:val="0"/>
          <w:numId w:val="6"/>
        </w:numPr>
      </w:pPr>
      <w:r w:rsidRPr="00F95FCF">
        <w:t>Altri privati 1,4 M (-0,5</w:t>
      </w:r>
      <w:r w:rsidR="00F801F7" w:rsidRPr="00F95FCF">
        <w:t xml:space="preserve">). </w:t>
      </w:r>
    </w:p>
    <w:p w:rsidR="002A2226" w:rsidRPr="002A2226" w:rsidRDefault="002A2226" w:rsidP="002A2226">
      <w:pPr>
        <w:rPr>
          <w:i/>
          <w:color w:val="C00000"/>
        </w:rPr>
      </w:pPr>
      <w:r w:rsidRPr="002A2226">
        <w:rPr>
          <w:i/>
          <w:color w:val="C00000"/>
        </w:rPr>
        <w:t xml:space="preserve">Commento. Dell’entrata da </w:t>
      </w:r>
      <w:r>
        <w:rPr>
          <w:i/>
          <w:color w:val="C00000"/>
        </w:rPr>
        <w:t>ricerca</w:t>
      </w:r>
      <w:r w:rsidRPr="002A2226">
        <w:rPr>
          <w:i/>
          <w:color w:val="C00000"/>
        </w:rPr>
        <w:t xml:space="preserve"> che va al bilancio d’ateneo</w:t>
      </w:r>
      <w:r>
        <w:rPr>
          <w:i/>
          <w:color w:val="C00000"/>
        </w:rPr>
        <w:t xml:space="preserve"> (fino al 10%), tra il </w:t>
      </w:r>
      <w:r w:rsidRPr="002A2226">
        <w:rPr>
          <w:i/>
          <w:color w:val="C00000"/>
        </w:rPr>
        <w:t xml:space="preserve">45% </w:t>
      </w:r>
      <w:r>
        <w:rPr>
          <w:i/>
          <w:color w:val="C00000"/>
        </w:rPr>
        <w:t xml:space="preserve">e il 60% </w:t>
      </w:r>
      <w:r w:rsidRPr="002A2226">
        <w:rPr>
          <w:i/>
          <w:color w:val="C00000"/>
        </w:rPr>
        <w:t xml:space="preserve">alimenta il Fondo Comune d’Ateneo (F.C.A.) che mensilmente viene distribuito al personale T.A.B. di categorie B-C-D. Come richiesto dalla CGIL, è necessario un aumento della quota di </w:t>
      </w:r>
      <w:r>
        <w:rPr>
          <w:i/>
          <w:color w:val="C00000"/>
        </w:rPr>
        <w:t>introito da ricerca</w:t>
      </w:r>
      <w:r w:rsidRPr="002A2226">
        <w:rPr>
          <w:i/>
          <w:color w:val="C00000"/>
        </w:rPr>
        <w:t xml:space="preserve"> che dal bilancio va ad alimentare il</w:t>
      </w:r>
      <w:r>
        <w:rPr>
          <w:i/>
          <w:color w:val="C00000"/>
        </w:rPr>
        <w:t xml:space="preserve"> F.C.A.: ad esempio elevandola </w:t>
      </w:r>
      <w:r w:rsidRPr="002A2226">
        <w:rPr>
          <w:i/>
          <w:color w:val="C00000"/>
        </w:rPr>
        <w:t>al 80%.</w:t>
      </w:r>
    </w:p>
    <w:p w:rsidR="002A2226" w:rsidRPr="00F95FCF" w:rsidRDefault="002A2226" w:rsidP="002A2226"/>
    <w:p w:rsidR="00F801F7" w:rsidRDefault="00F801F7" w:rsidP="00F801F7">
      <w:pPr>
        <w:ind w:left="0" w:firstLine="0"/>
      </w:pPr>
      <w:r w:rsidRPr="00C31C87">
        <w:rPr>
          <w:b/>
        </w:rPr>
        <w:t>II) CONTRIBUTI</w:t>
      </w:r>
      <w:r w:rsidR="00373B8A">
        <w:t xml:space="preserve"> (pgg. </w:t>
      </w:r>
      <w:r w:rsidR="00AC600D">
        <w:t>100</w:t>
      </w:r>
      <w:r w:rsidR="00373B8A">
        <w:t>-</w:t>
      </w:r>
      <w:r w:rsidR="00DD7916">
        <w:t>117</w:t>
      </w:r>
      <w:r w:rsidR="009B6196">
        <w:t>) = 368,2 M (+22,1</w:t>
      </w:r>
      <w:r w:rsidR="00373B8A">
        <w:t>) (sono i contributi diversi dai finanziamenti per la ricerca scientifica)</w:t>
      </w:r>
      <w:r w:rsidR="006A31EF">
        <w:t>.</w:t>
      </w:r>
    </w:p>
    <w:p w:rsidR="00F801F7" w:rsidRPr="00DB1D60" w:rsidRDefault="00F801F7" w:rsidP="00F801F7">
      <w:pPr>
        <w:ind w:left="0" w:firstLine="0"/>
      </w:pPr>
      <w:r w:rsidRPr="00DB1D60">
        <w:rPr>
          <w:b/>
        </w:rPr>
        <w:t>1) Contributi MIUR e altre Amministrazioni centrali</w:t>
      </w:r>
      <w:r w:rsidR="00DB1D60" w:rsidRPr="00DB1D60">
        <w:t xml:space="preserve"> = 352,3 M (+21,2</w:t>
      </w:r>
      <w:r w:rsidRPr="00DB1D60">
        <w:t>):</w:t>
      </w:r>
    </w:p>
    <w:p w:rsidR="00F801F7" w:rsidRPr="00497256" w:rsidRDefault="005D2D05" w:rsidP="003232AD">
      <w:pPr>
        <w:pStyle w:val="Paragrafoelenco"/>
        <w:numPr>
          <w:ilvl w:val="0"/>
          <w:numId w:val="7"/>
        </w:numPr>
      </w:pPr>
      <w:r w:rsidRPr="00497256">
        <w:t>FFO</w:t>
      </w:r>
      <w:r w:rsidR="003232AD" w:rsidRPr="00497256">
        <w:t xml:space="preserve"> complessivo</w:t>
      </w:r>
      <w:r w:rsidR="00497256" w:rsidRPr="00497256">
        <w:t xml:space="preserve"> 311,6</w:t>
      </w:r>
      <w:r w:rsidRPr="00497256">
        <w:t xml:space="preserve"> M (+</w:t>
      </w:r>
      <w:r w:rsidR="00497256" w:rsidRPr="00497256">
        <w:t>1</w:t>
      </w:r>
      <w:r w:rsidRPr="00497256">
        <w:t>3,7</w:t>
      </w:r>
      <w:r w:rsidR="00F801F7" w:rsidRPr="00497256">
        <w:t>).</w:t>
      </w:r>
    </w:p>
    <w:p w:rsidR="00497256" w:rsidRDefault="00497256" w:rsidP="00497256">
      <w:r w:rsidRPr="00497256">
        <w:t>Comprensivo anche di finanziamenti straordinari destinati a fronteggiare lo stati d emergenza sanitaria e quelli per il fondo edilizia per l’emergenza COVID.</w:t>
      </w:r>
      <w:r w:rsidR="00326E49">
        <w:t xml:space="preserve"> </w:t>
      </w:r>
    </w:p>
    <w:p w:rsidR="00326E49" w:rsidRDefault="00326E49" w:rsidP="00497256">
      <w:r>
        <w:t xml:space="preserve">Stante la normativa vigente del “costo standard”, il nostro FFO in futuro potrebbe calare in quanto negli anni siamo stati progressivamente penalizzati sulla quota base del finanziamento a causa del numero elevato di studenti iscritti ad un anno successivo al primo anno fuori corso, nonché ad un sistema che privilegia i finanziamenti perequativi per gli atenei collocati in Regioni più povere e con meno offerta universitaria. </w:t>
      </w:r>
    </w:p>
    <w:p w:rsidR="00326E49" w:rsidRPr="002D1390" w:rsidRDefault="00326E49" w:rsidP="00497256">
      <w:pPr>
        <w:rPr>
          <w:i/>
          <w:color w:val="C00000"/>
        </w:rPr>
      </w:pPr>
      <w:r w:rsidRPr="002D1390">
        <w:rPr>
          <w:i/>
          <w:color w:val="C00000"/>
        </w:rPr>
        <w:t xml:space="preserve">Commento. Per quanto riguarda gli studenti fuori corso, la nuova norma sulla “decadenza dagli studi” approvata dal Senato per gli iscritti dal 2020/21, che prevede la decadenza trascorsi 3 anni (e non più 8) dall’ultimo esame sostenuto, produrrà </w:t>
      </w:r>
      <w:r w:rsidR="00DD7916" w:rsidRPr="002D1390">
        <w:rPr>
          <w:i/>
          <w:color w:val="C00000"/>
        </w:rPr>
        <w:t xml:space="preserve">nei prossimi anni </w:t>
      </w:r>
      <w:r w:rsidRPr="002D1390">
        <w:rPr>
          <w:i/>
          <w:color w:val="C00000"/>
        </w:rPr>
        <w:t>una diminuzione del numero degli studenti fuori corso con conseguente aumento del FFO.</w:t>
      </w:r>
    </w:p>
    <w:p w:rsidR="00F801F7" w:rsidRPr="00DB1D60" w:rsidRDefault="00F801F7" w:rsidP="00F801F7">
      <w:pPr>
        <w:ind w:left="0" w:firstLine="0"/>
      </w:pPr>
      <w:r w:rsidRPr="00DB1D60">
        <w:rPr>
          <w:b/>
        </w:rPr>
        <w:t>2) Contributi Regioni e Provincie autonome</w:t>
      </w:r>
      <w:r w:rsidR="00373B8A" w:rsidRPr="00DB1D60">
        <w:t xml:space="preserve"> = 5,</w:t>
      </w:r>
      <w:r w:rsidR="00DB1D60">
        <w:t>7</w:t>
      </w:r>
      <w:r w:rsidR="003E3B9B" w:rsidRPr="00DB1D60">
        <w:t xml:space="preserve"> M (+0,</w:t>
      </w:r>
      <w:r w:rsidR="00DB1D60">
        <w:t>4</w:t>
      </w:r>
      <w:r w:rsidR="003232AD" w:rsidRPr="00DB1D60">
        <w:t>).</w:t>
      </w:r>
    </w:p>
    <w:p w:rsidR="003232AD" w:rsidRPr="00DD7916" w:rsidRDefault="00BC1DD2" w:rsidP="003232AD">
      <w:r w:rsidRPr="00DD7916">
        <w:t>D</w:t>
      </w:r>
      <w:r w:rsidR="00F801F7" w:rsidRPr="00DD7916">
        <w:t>a Regione Lombardia per</w:t>
      </w:r>
      <w:r w:rsidR="003232AD" w:rsidRPr="00DD7916">
        <w:t>:</w:t>
      </w:r>
    </w:p>
    <w:p w:rsidR="003232AD" w:rsidRPr="00DD7916" w:rsidRDefault="003232AD" w:rsidP="003232AD">
      <w:pPr>
        <w:pStyle w:val="Paragrafoelenco"/>
        <w:numPr>
          <w:ilvl w:val="0"/>
          <w:numId w:val="7"/>
        </w:numPr>
      </w:pPr>
      <w:r w:rsidRPr="00DD7916">
        <w:t>S</w:t>
      </w:r>
      <w:r w:rsidR="00F801F7" w:rsidRPr="00DD7916">
        <w:t xml:space="preserve">cuole specializzazione mediche </w:t>
      </w:r>
      <w:r w:rsidRPr="00DD7916">
        <w:t>2</w:t>
      </w:r>
      <w:r w:rsidR="00DD7916" w:rsidRPr="00DD7916">
        <w:t>,2</w:t>
      </w:r>
      <w:r w:rsidRPr="00DD7916">
        <w:t xml:space="preserve"> M (+0,1);</w:t>
      </w:r>
    </w:p>
    <w:p w:rsidR="00F801F7" w:rsidRPr="00DD7916" w:rsidRDefault="003232AD" w:rsidP="003232AD">
      <w:pPr>
        <w:pStyle w:val="Paragrafoelenco"/>
        <w:numPr>
          <w:ilvl w:val="0"/>
          <w:numId w:val="7"/>
        </w:numPr>
      </w:pPr>
      <w:r w:rsidRPr="00DD7916">
        <w:t>M</w:t>
      </w:r>
      <w:r w:rsidR="00F801F7" w:rsidRPr="00DD7916">
        <w:t>ense e residenze studenti</w:t>
      </w:r>
      <w:r w:rsidR="00DD7916" w:rsidRPr="00DD7916">
        <w:t xml:space="preserve"> 3,3</w:t>
      </w:r>
      <w:r w:rsidRPr="00DD7916">
        <w:t xml:space="preserve"> M</w:t>
      </w:r>
      <w:r w:rsidR="003E3B9B" w:rsidRPr="00DD7916">
        <w:t xml:space="preserve"> </w:t>
      </w:r>
      <w:r w:rsidRPr="00DD7916">
        <w:t>(</w:t>
      </w:r>
      <w:r w:rsidR="00DD7916" w:rsidRPr="00DD7916">
        <w:t>+0,2</w:t>
      </w:r>
      <w:r w:rsidR="003E3B9B" w:rsidRPr="00DD7916">
        <w:t>)</w:t>
      </w:r>
      <w:r w:rsidR="00F801F7" w:rsidRPr="00DD7916">
        <w:t>.</w:t>
      </w:r>
    </w:p>
    <w:p w:rsidR="00F801F7" w:rsidRPr="00DB1D60" w:rsidRDefault="00F801F7" w:rsidP="00F801F7">
      <w:pPr>
        <w:ind w:left="0" w:firstLine="0"/>
      </w:pPr>
      <w:r w:rsidRPr="00DB1D60">
        <w:rPr>
          <w:b/>
        </w:rPr>
        <w:t>6) Contributi da altri (pubblici)</w:t>
      </w:r>
      <w:r w:rsidR="00DB1D60" w:rsidRPr="00DB1D60">
        <w:t xml:space="preserve"> = 2,8 M (-0,1</w:t>
      </w:r>
      <w:r w:rsidRPr="00DB1D60">
        <w:t>)</w:t>
      </w:r>
      <w:r w:rsidR="003232AD" w:rsidRPr="00DB1D60">
        <w:t>.</w:t>
      </w:r>
    </w:p>
    <w:p w:rsidR="00F801F7" w:rsidRPr="00DD7916" w:rsidRDefault="00BC1DD2" w:rsidP="00F801F7">
      <w:pPr>
        <w:ind w:left="0" w:firstLine="0"/>
      </w:pPr>
      <w:r w:rsidRPr="00DD7916">
        <w:t>P</w:t>
      </w:r>
      <w:r w:rsidR="00F801F7" w:rsidRPr="00DD7916">
        <w:t>rincipalmente da ospedali per posti di dottorato, ricercatore e professore.</w:t>
      </w:r>
    </w:p>
    <w:p w:rsidR="00F801F7" w:rsidRPr="00DD7916" w:rsidRDefault="00F801F7" w:rsidP="00F801F7">
      <w:pPr>
        <w:ind w:left="0" w:firstLine="0"/>
      </w:pPr>
      <w:r w:rsidRPr="00DD7916">
        <w:rPr>
          <w:b/>
        </w:rPr>
        <w:t>7) Contributi da altri (privati)</w:t>
      </w:r>
      <w:r w:rsidR="00DB1D60" w:rsidRPr="00DD7916">
        <w:t xml:space="preserve"> = 7,1 M (+0,8</w:t>
      </w:r>
      <w:r w:rsidRPr="00DD7916">
        <w:t>)</w:t>
      </w:r>
      <w:r w:rsidR="003232AD" w:rsidRPr="00DD7916">
        <w:t>.</w:t>
      </w:r>
    </w:p>
    <w:p w:rsidR="00F801F7" w:rsidRDefault="00BC1DD2" w:rsidP="00F801F7">
      <w:pPr>
        <w:ind w:left="0" w:firstLine="0"/>
      </w:pPr>
      <w:r w:rsidRPr="00DD7916">
        <w:t>P</w:t>
      </w:r>
      <w:r w:rsidR="00F801F7" w:rsidRPr="00DD7916">
        <w:t xml:space="preserve">rincipalmente da Fondazioni </w:t>
      </w:r>
      <w:r w:rsidR="00DD7916" w:rsidRPr="00DD7916">
        <w:t xml:space="preserve">(in particolare Finnapo srl </w:t>
      </w:r>
      <w:r w:rsidR="00DD7916">
        <w:t xml:space="preserve">per 2,8 milioni </w:t>
      </w:r>
      <w:r w:rsidR="00DD7916" w:rsidRPr="00DD7916">
        <w:t>e Fondazione Invernizzi</w:t>
      </w:r>
      <w:r w:rsidR="00DD7916">
        <w:t xml:space="preserve"> per 2 milioni</w:t>
      </w:r>
      <w:r w:rsidR="00DD7916" w:rsidRPr="00DD7916">
        <w:t xml:space="preserve">) </w:t>
      </w:r>
      <w:r w:rsidR="00F801F7" w:rsidRPr="00DD7916">
        <w:t>per borse di ricerca e posti di ricercatore</w:t>
      </w:r>
      <w:r w:rsidR="00DD7916" w:rsidRPr="00DD7916">
        <w:t xml:space="preserve"> e professore</w:t>
      </w:r>
      <w:r w:rsidR="00F801F7" w:rsidRPr="00DD7916">
        <w:t>.</w:t>
      </w:r>
    </w:p>
    <w:p w:rsidR="00A37246" w:rsidRPr="00A37246" w:rsidRDefault="00A37246" w:rsidP="00A37246">
      <w:pPr>
        <w:ind w:left="0" w:firstLine="0"/>
        <w:rPr>
          <w:i/>
          <w:color w:val="C00000"/>
        </w:rPr>
      </w:pPr>
      <w:r w:rsidRPr="00A37246">
        <w:rPr>
          <w:i/>
          <w:color w:val="C00000"/>
        </w:rPr>
        <w:t>Commento. Finnapo srl è un’immobiliare di Fondazione Invernizzi. A dicembre 2020 sono stati donati 4 milioni di euro da destinare attività di ricerca in ambito biomedico e a supporto dei progetti di telemedicina. Di questi, 400.000 € sono andati al bilancio d’ateneo con destinazione del 60% (240.000 €) al F.C.A.</w:t>
      </w:r>
    </w:p>
    <w:p w:rsidR="00F801F7" w:rsidRDefault="00F801F7" w:rsidP="00F801F7">
      <w:pPr>
        <w:ind w:left="0" w:firstLine="0"/>
      </w:pPr>
    </w:p>
    <w:p w:rsidR="00F801F7" w:rsidRDefault="00F801F7" w:rsidP="00F801F7">
      <w:pPr>
        <w:ind w:left="0" w:firstLine="0"/>
      </w:pPr>
      <w:r w:rsidRPr="00C31C87">
        <w:rPr>
          <w:b/>
        </w:rPr>
        <w:t>III) PROVENTI PER ATTIVITA’ ASSISTENZIALE</w:t>
      </w:r>
      <w:r w:rsidR="009B6196">
        <w:t xml:space="preserve"> (pg.</w:t>
      </w:r>
      <w:r w:rsidR="00DD7916">
        <w:t xml:space="preserve"> 117</w:t>
      </w:r>
      <w:r>
        <w:t>):</w:t>
      </w:r>
    </w:p>
    <w:p w:rsidR="00F801F7" w:rsidRDefault="006A31EF" w:rsidP="00F801F7">
      <w:pPr>
        <w:ind w:left="0" w:firstLine="0"/>
      </w:pPr>
      <w:r>
        <w:t>0 M</w:t>
      </w:r>
      <w:r w:rsidR="00F801F7">
        <w:t>: dal 2018 differente contabilizzazione in bilancio per nuova normativa.</w:t>
      </w:r>
    </w:p>
    <w:p w:rsidR="00F801F7" w:rsidRDefault="00F801F7" w:rsidP="00F801F7">
      <w:pPr>
        <w:ind w:left="0" w:firstLine="0"/>
      </w:pPr>
    </w:p>
    <w:p w:rsidR="00F801F7" w:rsidRDefault="00F801F7" w:rsidP="00F801F7">
      <w:pPr>
        <w:ind w:left="0" w:firstLine="0"/>
      </w:pPr>
      <w:r w:rsidRPr="00C31C87">
        <w:rPr>
          <w:b/>
        </w:rPr>
        <w:t>IV) PROVENTI PER GESTIONE DIRETTA INTERVENTI PER IL DIRITTO ALLO STUDIO</w:t>
      </w:r>
      <w:r w:rsidR="006A31EF">
        <w:rPr>
          <w:b/>
        </w:rPr>
        <w:t xml:space="preserve"> </w:t>
      </w:r>
      <w:r w:rsidR="009B6196">
        <w:t xml:space="preserve">(pg. </w:t>
      </w:r>
      <w:r w:rsidR="00DD7916">
        <w:t>118</w:t>
      </w:r>
      <w:r w:rsidR="009B6196">
        <w:t>) = 16,5 M (+1,5</w:t>
      </w:r>
      <w:r w:rsidR="006A31EF">
        <w:t>).</w:t>
      </w:r>
    </w:p>
    <w:p w:rsidR="00F801F7" w:rsidRPr="00DD7916" w:rsidRDefault="00BC1DD2" w:rsidP="003232AD">
      <w:pPr>
        <w:pStyle w:val="Paragrafoelenco"/>
        <w:numPr>
          <w:ilvl w:val="0"/>
          <w:numId w:val="8"/>
        </w:numPr>
      </w:pPr>
      <w:r w:rsidRPr="00DD7916">
        <w:t>D</w:t>
      </w:r>
      <w:r w:rsidR="00F801F7" w:rsidRPr="00DD7916">
        <w:t>a Regione</w:t>
      </w:r>
      <w:r w:rsidR="006A31EF" w:rsidRPr="00DD7916">
        <w:t xml:space="preserve"> per borse di studio regionali 1</w:t>
      </w:r>
      <w:r w:rsidR="00DD7916" w:rsidRPr="00DD7916">
        <w:t>4,7 M (+2</w:t>
      </w:r>
      <w:r w:rsidR="00F801F7" w:rsidRPr="00DD7916">
        <w:t>);</w:t>
      </w:r>
    </w:p>
    <w:p w:rsidR="00F801F7" w:rsidRPr="00DD7916" w:rsidRDefault="00F801F7" w:rsidP="003232AD">
      <w:pPr>
        <w:pStyle w:val="Paragrafoelenco"/>
        <w:numPr>
          <w:ilvl w:val="0"/>
          <w:numId w:val="8"/>
        </w:numPr>
      </w:pPr>
      <w:r w:rsidRPr="00DD7916">
        <w:t xml:space="preserve">dagli </w:t>
      </w:r>
      <w:r w:rsidR="00DD7916" w:rsidRPr="00DD7916">
        <w:t>studenti per rette residenze 1,2 M (-0,1</w:t>
      </w:r>
      <w:r w:rsidRPr="00DD7916">
        <w:t xml:space="preserve">).  </w:t>
      </w:r>
    </w:p>
    <w:p w:rsidR="00C02493" w:rsidRDefault="00C02493" w:rsidP="00F801F7">
      <w:pPr>
        <w:ind w:left="0" w:firstLine="0"/>
      </w:pPr>
    </w:p>
    <w:p w:rsidR="00D1306F" w:rsidRPr="009B6196" w:rsidRDefault="00C02493" w:rsidP="00F801F7">
      <w:pPr>
        <w:ind w:left="0" w:firstLine="0"/>
        <w:rPr>
          <w:highlight w:val="yellow"/>
        </w:rPr>
      </w:pPr>
      <w:r w:rsidRPr="00C02493">
        <w:rPr>
          <w:b/>
        </w:rPr>
        <w:t>V) ALTRI PROVENTI E RICAVI DIVERSI</w:t>
      </w:r>
      <w:r w:rsidR="00D1306F">
        <w:rPr>
          <w:b/>
        </w:rPr>
        <w:t xml:space="preserve"> </w:t>
      </w:r>
      <w:r w:rsidR="009B6196">
        <w:t xml:space="preserve">(pgg. </w:t>
      </w:r>
      <w:r w:rsidR="00FF7781">
        <w:t>119-122</w:t>
      </w:r>
      <w:r w:rsidR="006A31EF">
        <w:t xml:space="preserve">) = </w:t>
      </w:r>
      <w:r w:rsidR="009B6196">
        <w:t>25,4 M (-5,5</w:t>
      </w:r>
      <w:r w:rsidR="00FF7781">
        <w:t>).</w:t>
      </w:r>
    </w:p>
    <w:p w:rsidR="00593853" w:rsidRPr="00E03E57" w:rsidRDefault="00BC1DD2" w:rsidP="00593853">
      <w:pPr>
        <w:pStyle w:val="Paragrafoelenco"/>
        <w:numPr>
          <w:ilvl w:val="0"/>
          <w:numId w:val="9"/>
        </w:numPr>
        <w:rPr>
          <w:color w:val="auto"/>
        </w:rPr>
      </w:pPr>
      <w:r w:rsidRPr="00E03E57">
        <w:rPr>
          <w:color w:val="auto"/>
        </w:rPr>
        <w:t>F</w:t>
      </w:r>
      <w:r w:rsidR="00FF7781" w:rsidRPr="00E03E57">
        <w:rPr>
          <w:color w:val="auto"/>
        </w:rPr>
        <w:t>itti attivi 682.000 €</w:t>
      </w:r>
      <w:r w:rsidR="00D1306F" w:rsidRPr="00E03E57">
        <w:rPr>
          <w:color w:val="auto"/>
        </w:rPr>
        <w:t xml:space="preserve"> </w:t>
      </w:r>
      <w:r w:rsidR="00FF7781" w:rsidRPr="00E03E57">
        <w:rPr>
          <w:color w:val="auto"/>
        </w:rPr>
        <w:t>(-1.049.000 €</w:t>
      </w:r>
      <w:r w:rsidR="00AB61DC" w:rsidRPr="00E03E57">
        <w:rPr>
          <w:color w:val="auto"/>
        </w:rPr>
        <w:t xml:space="preserve"> </w:t>
      </w:r>
      <w:r w:rsidR="0010125C" w:rsidRPr="00E03E57">
        <w:rPr>
          <w:color w:val="auto"/>
        </w:rPr>
        <w:t>): di questi 136</w:t>
      </w:r>
      <w:r w:rsidR="00593853" w:rsidRPr="00E03E57">
        <w:rPr>
          <w:color w:val="auto"/>
        </w:rPr>
        <w:t>.000 € entrano dai distributori automatici</w:t>
      </w:r>
      <w:r w:rsidR="0010125C" w:rsidRPr="00E03E57">
        <w:rPr>
          <w:color w:val="auto"/>
        </w:rPr>
        <w:t xml:space="preserve"> dal canone pagato dalla società IVS (-566</w:t>
      </w:r>
      <w:r w:rsidR="00593853" w:rsidRPr="00E03E57">
        <w:rPr>
          <w:color w:val="auto"/>
        </w:rPr>
        <w:t>.000)</w:t>
      </w:r>
      <w:r w:rsidR="0010125C" w:rsidRPr="00E03E57">
        <w:rPr>
          <w:color w:val="auto"/>
        </w:rPr>
        <w:t xml:space="preserve">; </w:t>
      </w:r>
      <w:r w:rsidR="00593853" w:rsidRPr="00E03E57">
        <w:rPr>
          <w:color w:val="auto"/>
        </w:rPr>
        <w:t xml:space="preserve">325.000 € (+51.000) </w:t>
      </w:r>
      <w:r w:rsidR="0010125C" w:rsidRPr="00E03E57">
        <w:rPr>
          <w:color w:val="auto"/>
        </w:rPr>
        <w:t xml:space="preserve">dalla locazione degli </w:t>
      </w:r>
      <w:r w:rsidR="00593853" w:rsidRPr="00E03E57">
        <w:rPr>
          <w:color w:val="auto"/>
        </w:rPr>
        <w:t>spazi di viale Ortles a varie aziende;</w:t>
      </w:r>
      <w:r w:rsidR="0010125C" w:rsidRPr="00E03E57">
        <w:rPr>
          <w:color w:val="auto"/>
        </w:rPr>
        <w:t xml:space="preserve"> 151.000 € (-379.000) da parte dell’ospedale Besta per il canone di concessione di via Clericetti. Il calo del canone da parte dell’ospedale Besta è causato dal fatto che nel 2019 ci fu una liquidazione una tantum di 530.000 €. L’importante calo delle entrate dai distributori automatici è determinato dalla sospensione dei servizi intervenuta nel mese di marzo in conseguenza delle misure restrittive adottate per la situazione emergenziale Covid – 19 ed in particolare dalla cessazione del contratto per i distributori di bevande sottoscritto con IVS.</w:t>
      </w:r>
    </w:p>
    <w:p w:rsidR="0010125C" w:rsidRPr="002D1390" w:rsidRDefault="0010125C" w:rsidP="0010125C">
      <w:pPr>
        <w:pStyle w:val="Paragrafoelenco"/>
        <w:ind w:firstLine="0"/>
        <w:rPr>
          <w:i/>
          <w:color w:val="C00000"/>
        </w:rPr>
      </w:pPr>
      <w:r w:rsidRPr="002D1390">
        <w:rPr>
          <w:i/>
          <w:color w:val="C00000"/>
        </w:rPr>
        <w:t xml:space="preserve">Commento. Dell’entrata da fitti attivi che va al bilancio d’ateneo, il 60% alimenta il Fondo Comune d’Ateneo (F.C.A.) che mensilmente viene distribuito al personale T.A.B. di categorie B-C-D. Perciò il calo dell’introito che alimenta il F.C.A. è stato di 600.000 €: questo </w:t>
      </w:r>
      <w:r w:rsidR="00B63BF7">
        <w:rPr>
          <w:i/>
          <w:color w:val="C00000"/>
        </w:rPr>
        <w:t>potrebbe portare</w:t>
      </w:r>
      <w:r w:rsidR="00B63BF7" w:rsidRPr="008204CC">
        <w:rPr>
          <w:i/>
          <w:color w:val="C00000"/>
        </w:rPr>
        <w:t xml:space="preserve"> </w:t>
      </w:r>
      <w:r w:rsidRPr="002D1390">
        <w:rPr>
          <w:i/>
          <w:color w:val="C00000"/>
        </w:rPr>
        <w:t>ad una riduzione del conguaglio 2020 del F.C.A. che normalmente viene distribuito nel corso del 2021.</w:t>
      </w:r>
    </w:p>
    <w:p w:rsidR="0010125C" w:rsidRPr="002D1390" w:rsidRDefault="0010125C" w:rsidP="0010125C">
      <w:pPr>
        <w:pStyle w:val="Paragrafoelenco"/>
        <w:ind w:firstLine="0"/>
        <w:rPr>
          <w:i/>
          <w:color w:val="C00000"/>
        </w:rPr>
      </w:pPr>
      <w:r w:rsidRPr="002D1390">
        <w:rPr>
          <w:i/>
          <w:color w:val="C00000"/>
        </w:rPr>
        <w:t>Come richiesto dalla CGIL, è necessario un aumento della quota dai fitti attivi che dal bilancio va ad alimentare il F.C.A.: ad ese</w:t>
      </w:r>
      <w:r w:rsidR="00DA79BF" w:rsidRPr="002D1390">
        <w:rPr>
          <w:i/>
          <w:color w:val="C00000"/>
        </w:rPr>
        <w:t>mpio elevandola, dall’attuale 60</w:t>
      </w:r>
      <w:r w:rsidRPr="002D1390">
        <w:rPr>
          <w:i/>
          <w:color w:val="C00000"/>
        </w:rPr>
        <w:t>%, al 80%.</w:t>
      </w:r>
    </w:p>
    <w:p w:rsidR="00AB61DC" w:rsidRPr="001B45FB" w:rsidRDefault="00BC1DD2" w:rsidP="003232AD">
      <w:pPr>
        <w:pStyle w:val="Paragrafoelenco"/>
        <w:numPr>
          <w:ilvl w:val="0"/>
          <w:numId w:val="9"/>
        </w:numPr>
      </w:pPr>
      <w:r w:rsidRPr="001B45FB">
        <w:t>U</w:t>
      </w:r>
      <w:r w:rsidR="001B45FB" w:rsidRPr="001B45FB">
        <w:t>tilizzo spazi 13.000 € (-198</w:t>
      </w:r>
      <w:r w:rsidR="00AB61DC" w:rsidRPr="001B45FB">
        <w:t>.000</w:t>
      </w:r>
      <w:r w:rsidR="001B45FB" w:rsidRPr="001B45FB">
        <w:t>):</w:t>
      </w:r>
      <w:r w:rsidR="00AB61DC" w:rsidRPr="001B45FB">
        <w:t xml:space="preserve"> per affitto Aula Magna, sala Napoleonica, sala Crociera</w:t>
      </w:r>
      <w:r w:rsidR="001B45FB" w:rsidRPr="001B45FB">
        <w:t xml:space="preserve">. Si tenga presente che nel 2020 non c’è stato l’introito </w:t>
      </w:r>
      <w:r w:rsidR="00611D2F" w:rsidRPr="001B45FB">
        <w:t xml:space="preserve">da Mondadori per </w:t>
      </w:r>
      <w:r w:rsidR="001B45FB" w:rsidRPr="001B45FB">
        <w:t>“</w:t>
      </w:r>
      <w:r w:rsidR="00611D2F" w:rsidRPr="001B45FB">
        <w:t>Interni</w:t>
      </w:r>
      <w:r w:rsidR="001B45FB" w:rsidRPr="001B45FB">
        <w:t>” quantificabile in circa</w:t>
      </w:r>
      <w:r w:rsidR="00611D2F" w:rsidRPr="001B45FB">
        <w:t xml:space="preserve"> 90.000 €</w:t>
      </w:r>
      <w:r w:rsidR="00AB61DC" w:rsidRPr="001B45FB">
        <w:t>);</w:t>
      </w:r>
    </w:p>
    <w:p w:rsidR="001B45FB" w:rsidRPr="008204CC" w:rsidRDefault="001B45FB" w:rsidP="001B45FB">
      <w:pPr>
        <w:pStyle w:val="Paragrafoelenco"/>
        <w:ind w:firstLine="0"/>
        <w:rPr>
          <w:i/>
          <w:color w:val="C00000"/>
        </w:rPr>
      </w:pPr>
      <w:r w:rsidRPr="008204CC">
        <w:rPr>
          <w:i/>
          <w:color w:val="C00000"/>
        </w:rPr>
        <w:t xml:space="preserve">Commento. Dell’entrata da utilizzo spazi che va al bilancio d’ateneo, il 60% alimenta il Fondo Comune d’Ateneo (F.C.A.) che mensilmente viene distribuito al personale T.A.B. di categorie B-C-D. Perciò il calo dell’introito che alimenta il F.C.A. è stato di 120.000 €: questo </w:t>
      </w:r>
      <w:r w:rsidR="00B63BF7">
        <w:rPr>
          <w:i/>
          <w:color w:val="C00000"/>
        </w:rPr>
        <w:t>potrebbe portare</w:t>
      </w:r>
      <w:r w:rsidR="00B63BF7" w:rsidRPr="008204CC">
        <w:rPr>
          <w:i/>
          <w:color w:val="C00000"/>
        </w:rPr>
        <w:t xml:space="preserve"> </w:t>
      </w:r>
      <w:r w:rsidRPr="008204CC">
        <w:rPr>
          <w:i/>
          <w:color w:val="C00000"/>
        </w:rPr>
        <w:t>ad una riduzione del conguaglio 2020 del F.C.A. che normalmente viene distribuito nel corso del 2021.</w:t>
      </w:r>
    </w:p>
    <w:p w:rsidR="001B45FB" w:rsidRPr="008204CC" w:rsidRDefault="001B45FB" w:rsidP="001B45FB">
      <w:pPr>
        <w:pStyle w:val="Paragrafoelenco"/>
        <w:ind w:firstLine="0"/>
        <w:rPr>
          <w:i/>
          <w:color w:val="C00000"/>
        </w:rPr>
      </w:pPr>
      <w:r w:rsidRPr="008204CC">
        <w:rPr>
          <w:i/>
          <w:color w:val="C00000"/>
        </w:rPr>
        <w:t xml:space="preserve">Come richiesto dalla CGIL, è necessario un aumento della quota </w:t>
      </w:r>
      <w:r w:rsidR="005E51C4" w:rsidRPr="008204CC">
        <w:rPr>
          <w:i/>
          <w:color w:val="C00000"/>
        </w:rPr>
        <w:t>da utilizzo spazi</w:t>
      </w:r>
      <w:r w:rsidRPr="008204CC">
        <w:rPr>
          <w:i/>
          <w:color w:val="C00000"/>
        </w:rPr>
        <w:t xml:space="preserve"> che dal bilancio va ad alimentare il F.C.A.: ad ese</w:t>
      </w:r>
      <w:r w:rsidR="00DA79BF" w:rsidRPr="008204CC">
        <w:rPr>
          <w:i/>
          <w:color w:val="C00000"/>
        </w:rPr>
        <w:t>mpio elevandola, dall’attuale 60</w:t>
      </w:r>
      <w:r w:rsidRPr="008204CC">
        <w:rPr>
          <w:i/>
          <w:color w:val="C00000"/>
        </w:rPr>
        <w:t>%, al 80%.</w:t>
      </w:r>
    </w:p>
    <w:p w:rsidR="00D1306F" w:rsidRPr="0070542F" w:rsidRDefault="00BC1DD2" w:rsidP="003232AD">
      <w:pPr>
        <w:pStyle w:val="Paragrafoelenco"/>
        <w:numPr>
          <w:ilvl w:val="0"/>
          <w:numId w:val="9"/>
        </w:numPr>
      </w:pPr>
      <w:r w:rsidRPr="0070542F">
        <w:t>P</w:t>
      </w:r>
      <w:r w:rsidR="00DC3058" w:rsidRPr="0070542F">
        <w:t>ergamene di laurea 1,4 M (stabile</w:t>
      </w:r>
      <w:r w:rsidR="00D1306F" w:rsidRPr="0070542F">
        <w:t>);</w:t>
      </w:r>
    </w:p>
    <w:p w:rsidR="00D1306F" w:rsidRPr="0070542F" w:rsidRDefault="00BC1DD2" w:rsidP="003232AD">
      <w:pPr>
        <w:pStyle w:val="Paragrafoelenco"/>
        <w:numPr>
          <w:ilvl w:val="0"/>
          <w:numId w:val="9"/>
        </w:numPr>
      </w:pPr>
      <w:r w:rsidRPr="0070542F">
        <w:t>B</w:t>
      </w:r>
      <w:r w:rsidR="0070542F" w:rsidRPr="0070542F">
        <w:t>revetti 0 € (-34</w:t>
      </w:r>
      <w:r w:rsidR="00DC3058" w:rsidRPr="0070542F">
        <w:t>.00</w:t>
      </w:r>
      <w:r w:rsidR="005D4CDE" w:rsidRPr="0070542F">
        <w:t>0</w:t>
      </w:r>
      <w:r w:rsidR="00D1306F" w:rsidRPr="0070542F">
        <w:t>);</w:t>
      </w:r>
    </w:p>
    <w:p w:rsidR="00003135" w:rsidRDefault="00BC1DD2" w:rsidP="003232AD">
      <w:pPr>
        <w:pStyle w:val="Paragrafoelenco"/>
        <w:numPr>
          <w:ilvl w:val="0"/>
          <w:numId w:val="9"/>
        </w:numPr>
      </w:pPr>
      <w:r w:rsidRPr="001B45FB">
        <w:t>A</w:t>
      </w:r>
      <w:r w:rsidR="00003135" w:rsidRPr="001B45FB">
        <w:t xml:space="preserve">ttività </w:t>
      </w:r>
      <w:r w:rsidR="001B45FB" w:rsidRPr="001B45FB">
        <w:t>di sponsorizzazione 28</w:t>
      </w:r>
      <w:r w:rsidR="00003135" w:rsidRPr="001B45FB">
        <w:t>.000 €</w:t>
      </w:r>
      <w:r w:rsidR="001B45FB" w:rsidRPr="001B45FB">
        <w:t xml:space="preserve"> (-42</w:t>
      </w:r>
      <w:r w:rsidR="00DC3058" w:rsidRPr="001B45FB">
        <w:t>.000);</w:t>
      </w:r>
    </w:p>
    <w:p w:rsidR="001B45FB" w:rsidRPr="008204CC" w:rsidRDefault="001B45FB" w:rsidP="001B45FB">
      <w:pPr>
        <w:pStyle w:val="Paragrafoelenco"/>
        <w:ind w:firstLine="0"/>
        <w:rPr>
          <w:i/>
          <w:color w:val="C00000"/>
        </w:rPr>
      </w:pPr>
      <w:r w:rsidRPr="008204CC">
        <w:rPr>
          <w:i/>
          <w:color w:val="C00000"/>
        </w:rPr>
        <w:t xml:space="preserve">Commento. Dell’entrata da </w:t>
      </w:r>
      <w:r w:rsidR="003102F3" w:rsidRPr="008204CC">
        <w:rPr>
          <w:i/>
          <w:color w:val="C00000"/>
        </w:rPr>
        <w:t>sponsorizzazion</w:t>
      </w:r>
      <w:r w:rsidRPr="008204CC">
        <w:rPr>
          <w:i/>
          <w:color w:val="C00000"/>
        </w:rPr>
        <w:t>i che va al bilancio d’ateneo, il 60% alimenta il Fondo Comune d’Ateneo (F.C.A.) che mensilmente viene distribuito al personale T.A.B. di categorie B-C-D. Perciò il calo dell’introito che a</w:t>
      </w:r>
      <w:r w:rsidR="00DA79BF" w:rsidRPr="008204CC">
        <w:rPr>
          <w:i/>
          <w:color w:val="C00000"/>
        </w:rPr>
        <w:t>limenta il F.C.A. è stato di 25</w:t>
      </w:r>
      <w:r w:rsidRPr="008204CC">
        <w:rPr>
          <w:i/>
          <w:color w:val="C00000"/>
        </w:rPr>
        <w:t xml:space="preserve">.000 €: questo </w:t>
      </w:r>
      <w:r w:rsidR="00B63BF7">
        <w:rPr>
          <w:i/>
          <w:color w:val="C00000"/>
        </w:rPr>
        <w:t>potrebbe portare</w:t>
      </w:r>
      <w:r w:rsidRPr="008204CC">
        <w:rPr>
          <w:i/>
          <w:color w:val="C00000"/>
        </w:rPr>
        <w:t xml:space="preserve"> ad una riduzione del conguaglio 2020 del F.C.A. che normalmente viene distribuito nel corso del 2021.</w:t>
      </w:r>
    </w:p>
    <w:p w:rsidR="001B45FB" w:rsidRPr="008204CC" w:rsidRDefault="001B45FB" w:rsidP="001B45FB">
      <w:pPr>
        <w:pStyle w:val="Paragrafoelenco"/>
        <w:ind w:firstLine="0"/>
        <w:rPr>
          <w:i/>
          <w:color w:val="C00000"/>
        </w:rPr>
      </w:pPr>
      <w:r w:rsidRPr="008204CC">
        <w:rPr>
          <w:i/>
          <w:color w:val="C00000"/>
        </w:rPr>
        <w:t xml:space="preserve">Come richiesto dalla CGIL, è necessario un aumento della quota </w:t>
      </w:r>
      <w:r w:rsidR="003102F3" w:rsidRPr="008204CC">
        <w:rPr>
          <w:i/>
          <w:color w:val="C00000"/>
        </w:rPr>
        <w:t xml:space="preserve">da sponsorizzazioni </w:t>
      </w:r>
      <w:r w:rsidRPr="008204CC">
        <w:rPr>
          <w:i/>
          <w:color w:val="C00000"/>
        </w:rPr>
        <w:t>che dal bilancio va ad alimentare il F.C.A.: ad ese</w:t>
      </w:r>
      <w:r w:rsidR="00DA79BF" w:rsidRPr="008204CC">
        <w:rPr>
          <w:i/>
          <w:color w:val="C00000"/>
        </w:rPr>
        <w:t>mpio elevandola, dall’attuale 60</w:t>
      </w:r>
      <w:r w:rsidRPr="008204CC">
        <w:rPr>
          <w:i/>
          <w:color w:val="C00000"/>
        </w:rPr>
        <w:t>%, al 80%.</w:t>
      </w:r>
    </w:p>
    <w:p w:rsidR="00DC3058" w:rsidRPr="0070542F" w:rsidRDefault="00BC1DD2" w:rsidP="003232AD">
      <w:pPr>
        <w:pStyle w:val="Paragrafoelenco"/>
        <w:numPr>
          <w:ilvl w:val="0"/>
          <w:numId w:val="9"/>
        </w:numPr>
      </w:pPr>
      <w:r w:rsidRPr="0070542F">
        <w:t>A</w:t>
      </w:r>
      <w:r w:rsidR="0070542F" w:rsidRPr="0070542F">
        <w:t>ttività convegnistica 19.000 € (-89</w:t>
      </w:r>
      <w:r w:rsidR="00DC3058" w:rsidRPr="0070542F">
        <w:t>.000);</w:t>
      </w:r>
    </w:p>
    <w:p w:rsidR="00FF0D95" w:rsidRPr="00FF0D95" w:rsidRDefault="00BC1DD2" w:rsidP="003232AD">
      <w:pPr>
        <w:pStyle w:val="Paragrafoelenco"/>
        <w:numPr>
          <w:ilvl w:val="0"/>
          <w:numId w:val="10"/>
        </w:numPr>
      </w:pPr>
      <w:r w:rsidRPr="00FF0D95">
        <w:t>R</w:t>
      </w:r>
      <w:r w:rsidR="00DC3058" w:rsidRPr="00FF0D95">
        <w:t>ecuperi e rimbor</w:t>
      </w:r>
      <w:r w:rsidR="0070542F" w:rsidRPr="00FF0D95">
        <w:t>si da attività istituzionali 2,7 M (-0</w:t>
      </w:r>
      <w:r w:rsidR="00DC3058" w:rsidRPr="00FF0D95">
        <w:t>,3)</w:t>
      </w:r>
      <w:r w:rsidR="0070542F" w:rsidRPr="00FF0D95">
        <w:t>:</w:t>
      </w:r>
      <w:r w:rsidR="00FF0D95" w:rsidRPr="00FF0D95">
        <w:t xml:space="preserve"> di cui 640.000 €</w:t>
      </w:r>
      <w:r w:rsidR="00DC3058" w:rsidRPr="00FF0D95">
        <w:t xml:space="preserve"> dall’ospedale San Paolo per l’utilizzo dei locali di via Beldiletto</w:t>
      </w:r>
      <w:r w:rsidR="00FF0D95" w:rsidRPr="00FF0D95">
        <w:t xml:space="preserve"> e 720.000 € </w:t>
      </w:r>
      <w:r w:rsidR="00E5164B" w:rsidRPr="00FF0D95">
        <w:t>da parte del CNR per l’utilizzo</w:t>
      </w:r>
      <w:r w:rsidR="00FF0D95" w:rsidRPr="00FF0D95">
        <w:t xml:space="preserve"> dei locali del Lita di Segrate;</w:t>
      </w:r>
      <w:r w:rsidR="006C635F" w:rsidRPr="00FF0D95">
        <w:t xml:space="preserve"> </w:t>
      </w:r>
    </w:p>
    <w:p w:rsidR="00E5164B" w:rsidRPr="00FF0D95" w:rsidRDefault="00BC1DD2" w:rsidP="003232AD">
      <w:pPr>
        <w:pStyle w:val="Paragrafoelenco"/>
        <w:numPr>
          <w:ilvl w:val="0"/>
          <w:numId w:val="10"/>
        </w:numPr>
      </w:pPr>
      <w:r w:rsidRPr="00FF0D95">
        <w:t>R</w:t>
      </w:r>
      <w:r w:rsidR="00DC3058" w:rsidRPr="00FF0D95">
        <w:t>ecupero del “Contributo mensa” sulle borse per il diritto allo studio</w:t>
      </w:r>
      <w:r w:rsidR="00FF0D95" w:rsidRPr="00FF0D95">
        <w:t xml:space="preserve"> 3,3 M (stabile</w:t>
      </w:r>
      <w:r w:rsidR="00E5164B" w:rsidRPr="00FF0D95">
        <w:t>).</w:t>
      </w:r>
    </w:p>
    <w:p w:rsidR="008E3CD8" w:rsidRPr="00C13707" w:rsidRDefault="008E3CD8" w:rsidP="008E3CD8">
      <w:pPr>
        <w:ind w:left="0" w:firstLine="0"/>
        <w:rPr>
          <w:i/>
          <w:color w:val="C00000"/>
        </w:rPr>
      </w:pPr>
      <w:r w:rsidRPr="00C13707">
        <w:rPr>
          <w:i/>
          <w:color w:val="C00000"/>
        </w:rPr>
        <w:t>Commento. Se immediatamente non si andranno a maggiorar</w:t>
      </w:r>
      <w:r>
        <w:rPr>
          <w:i/>
          <w:color w:val="C00000"/>
        </w:rPr>
        <w:t>e</w:t>
      </w:r>
      <w:r w:rsidRPr="00C13707">
        <w:rPr>
          <w:i/>
          <w:color w:val="C00000"/>
        </w:rPr>
        <w:t xml:space="preserve"> le percentuali di prelievo delle entrate che vanno a favore del F</w:t>
      </w:r>
      <w:r w:rsidR="00161BA7">
        <w:rPr>
          <w:i/>
          <w:color w:val="C00000"/>
        </w:rPr>
        <w:t>.</w:t>
      </w:r>
      <w:r w:rsidRPr="00C13707">
        <w:rPr>
          <w:i/>
          <w:color w:val="C00000"/>
        </w:rPr>
        <w:t>C</w:t>
      </w:r>
      <w:r w:rsidR="00161BA7">
        <w:rPr>
          <w:i/>
          <w:color w:val="C00000"/>
        </w:rPr>
        <w:t>.</w:t>
      </w:r>
      <w:r w:rsidRPr="00C13707">
        <w:rPr>
          <w:i/>
          <w:color w:val="C00000"/>
        </w:rPr>
        <w:t>A</w:t>
      </w:r>
      <w:r w:rsidR="00161BA7">
        <w:rPr>
          <w:i/>
          <w:color w:val="C00000"/>
        </w:rPr>
        <w:t>.</w:t>
      </w:r>
      <w:r w:rsidRPr="00C13707">
        <w:rPr>
          <w:i/>
          <w:color w:val="C00000"/>
        </w:rPr>
        <w:t xml:space="preserve">, </w:t>
      </w:r>
      <w:r>
        <w:rPr>
          <w:i/>
          <w:color w:val="C00000"/>
        </w:rPr>
        <w:t>avremo</w:t>
      </w:r>
      <w:r w:rsidRPr="00C13707">
        <w:rPr>
          <w:i/>
          <w:color w:val="C00000"/>
        </w:rPr>
        <w:t xml:space="preserve"> </w:t>
      </w:r>
      <w:r>
        <w:rPr>
          <w:i/>
          <w:color w:val="C00000"/>
        </w:rPr>
        <w:t>tagli su</w:t>
      </w:r>
      <w:r w:rsidRPr="00C13707">
        <w:rPr>
          <w:i/>
          <w:color w:val="C00000"/>
        </w:rPr>
        <w:t>l conguaglio</w:t>
      </w:r>
      <w:r>
        <w:rPr>
          <w:i/>
          <w:color w:val="C00000"/>
        </w:rPr>
        <w:t xml:space="preserve"> del 2020</w:t>
      </w:r>
      <w:r w:rsidRPr="00C13707">
        <w:rPr>
          <w:i/>
          <w:color w:val="C00000"/>
        </w:rPr>
        <w:t xml:space="preserve"> </w:t>
      </w:r>
      <w:r>
        <w:rPr>
          <w:i/>
          <w:color w:val="C00000"/>
        </w:rPr>
        <w:t>da pagare</w:t>
      </w:r>
      <w:r w:rsidRPr="00C13707">
        <w:rPr>
          <w:i/>
          <w:color w:val="C00000"/>
        </w:rPr>
        <w:t xml:space="preserve"> quest’anno</w:t>
      </w:r>
      <w:r>
        <w:rPr>
          <w:i/>
          <w:color w:val="C00000"/>
        </w:rPr>
        <w:t xml:space="preserve"> e/o del 2021 da pagare </w:t>
      </w:r>
      <w:r w:rsidRPr="00C13707">
        <w:rPr>
          <w:i/>
          <w:color w:val="C00000"/>
        </w:rPr>
        <w:t>l’anno prossimo. Infatti le entrate da fitti attivi, utilizzo spazi e sponsorizzazioni potrebbero avere cali importanti anche nel 2021. Pertanto è in particolare dalle entrate da conto terzi che bisogna procedere ad elevare la percentuale del 45% almeno all’80% con beneficio per il F</w:t>
      </w:r>
      <w:r w:rsidR="00161BA7">
        <w:rPr>
          <w:i/>
          <w:color w:val="C00000"/>
        </w:rPr>
        <w:t>.</w:t>
      </w:r>
      <w:r w:rsidRPr="00C13707">
        <w:rPr>
          <w:i/>
          <w:color w:val="C00000"/>
        </w:rPr>
        <w:t>C</w:t>
      </w:r>
      <w:r w:rsidR="00161BA7">
        <w:rPr>
          <w:i/>
          <w:color w:val="C00000"/>
        </w:rPr>
        <w:t>.</w:t>
      </w:r>
      <w:r w:rsidRPr="00C13707">
        <w:rPr>
          <w:i/>
          <w:color w:val="C00000"/>
        </w:rPr>
        <w:t>A.</w:t>
      </w:r>
    </w:p>
    <w:p w:rsidR="00DC3058" w:rsidRDefault="00DC3058" w:rsidP="00D1306F">
      <w:pPr>
        <w:ind w:left="0" w:firstLine="0"/>
      </w:pPr>
    </w:p>
    <w:p w:rsidR="00091DC5" w:rsidRDefault="00FF79C4" w:rsidP="00091DC5">
      <w:pPr>
        <w:ind w:left="0" w:firstLine="0"/>
      </w:pPr>
      <w:r w:rsidRPr="00FF79C4">
        <w:rPr>
          <w:b/>
        </w:rPr>
        <w:t>B) COSTI OPERATIVI</w:t>
      </w:r>
      <w:r w:rsidR="00091DC5">
        <w:rPr>
          <w:b/>
        </w:rPr>
        <w:t xml:space="preserve"> </w:t>
      </w:r>
      <w:r w:rsidR="009B6196">
        <w:t>= 501,1 M (- 18,7</w:t>
      </w:r>
      <w:r w:rsidR="00091DC5">
        <w:t>).</w:t>
      </w:r>
    </w:p>
    <w:p w:rsidR="00AE6C0D" w:rsidRDefault="00AE6C0D" w:rsidP="00AE6C0D">
      <w:pPr>
        <w:ind w:left="0" w:firstLine="0"/>
      </w:pPr>
      <w:r>
        <w:t>Il decremento di 18,7 milioni di euro dei costi è causato</w:t>
      </w:r>
      <w:r w:rsidR="00244579">
        <w:t xml:space="preserve"> principalmente </w:t>
      </w:r>
      <w:r>
        <w:t>da:</w:t>
      </w:r>
    </w:p>
    <w:p w:rsidR="00AE6C0D" w:rsidRPr="00AE6C0D" w:rsidRDefault="00AE6C0D" w:rsidP="00AE6C0D">
      <w:pPr>
        <w:numPr>
          <w:ilvl w:val="0"/>
          <w:numId w:val="22"/>
        </w:numPr>
      </w:pPr>
      <w:r w:rsidRPr="00AE6C0D">
        <w:t>una riduzione di circa 7 milioni dei costi per la gestione corrente, ascrivibile prevalentemente alla riduzione degli acquisti per servizi e collaborazioni tecnico gestionali conseguenti alla contrazione delle attività che si è verificata durante l’emergenza pandemica, tutt’ora in corso;</w:t>
      </w:r>
    </w:p>
    <w:p w:rsidR="00AE6C0D" w:rsidRPr="00AE6C0D" w:rsidRDefault="00AE6C0D" w:rsidP="00AE6C0D">
      <w:pPr>
        <w:numPr>
          <w:ilvl w:val="0"/>
          <w:numId w:val="22"/>
        </w:numPr>
      </w:pPr>
      <w:r w:rsidRPr="00AE6C0D">
        <w:t>una riduzione di 10 milioni dei costi per accantona</w:t>
      </w:r>
      <w:r>
        <w:t>m</w:t>
      </w:r>
      <w:r w:rsidRPr="00AE6C0D">
        <w:t>enti a fondo rischi o oneri, sulla cui valutazione ha contribuito in maniera significativa il ritiro del ricorso da parte dell’associazione UDU e quindi il venir meno della necessità di disporre ulteriori accantonamenti.</w:t>
      </w:r>
    </w:p>
    <w:p w:rsidR="00AE6C0D" w:rsidRDefault="00AE6C0D" w:rsidP="00091DC5">
      <w:pPr>
        <w:ind w:left="0" w:firstLine="0"/>
      </w:pPr>
    </w:p>
    <w:p w:rsidR="00FF79C4" w:rsidRPr="005F08EA" w:rsidRDefault="00FF79C4" w:rsidP="00D1306F">
      <w:pPr>
        <w:ind w:left="0" w:firstLine="0"/>
      </w:pPr>
      <w:r w:rsidRPr="005F08EA">
        <w:rPr>
          <w:b/>
        </w:rPr>
        <w:t xml:space="preserve">VII) COSTI DEL PERSONALE </w:t>
      </w:r>
      <w:r w:rsidR="005F08EA" w:rsidRPr="005F08EA">
        <w:t>(pgg. 124</w:t>
      </w:r>
      <w:r w:rsidR="00D43A92" w:rsidRPr="005F08EA">
        <w:t>-12</w:t>
      </w:r>
      <w:r w:rsidR="005F08EA" w:rsidRPr="005F08EA">
        <w:t>5</w:t>
      </w:r>
      <w:r w:rsidR="008D5119" w:rsidRPr="005F08EA">
        <w:t>)</w:t>
      </w:r>
      <w:r w:rsidR="005F08EA" w:rsidRPr="005F08EA">
        <w:t xml:space="preserve"> = 268,4 M (-1,8</w:t>
      </w:r>
      <w:r w:rsidR="00091DC5" w:rsidRPr="005F08EA">
        <w:t>).</w:t>
      </w:r>
    </w:p>
    <w:p w:rsidR="007A3675" w:rsidRPr="005F08EA" w:rsidRDefault="007A3675" w:rsidP="00D1306F">
      <w:pPr>
        <w:ind w:left="0" w:firstLine="0"/>
      </w:pPr>
      <w:r w:rsidRPr="005F08EA">
        <w:rPr>
          <w:b/>
        </w:rPr>
        <w:t xml:space="preserve">1) Costi del personale dedicato alla </w:t>
      </w:r>
      <w:r w:rsidR="00091DC5" w:rsidRPr="005F08EA">
        <w:rPr>
          <w:b/>
        </w:rPr>
        <w:t xml:space="preserve">ricerca e alla didattica </w:t>
      </w:r>
      <w:r w:rsidR="005F08EA" w:rsidRPr="005F08EA">
        <w:t>= 195,1 M (-1,9</w:t>
      </w:r>
      <w:r w:rsidR="00091DC5" w:rsidRPr="005F08EA">
        <w:t xml:space="preserve"> M).</w:t>
      </w:r>
    </w:p>
    <w:p w:rsidR="007A3675" w:rsidRPr="005F08EA" w:rsidRDefault="007A3675" w:rsidP="00D1306F">
      <w:pPr>
        <w:ind w:left="0" w:firstLine="0"/>
      </w:pPr>
      <w:r w:rsidRPr="005F08EA">
        <w:rPr>
          <w:b/>
        </w:rPr>
        <w:t>a) docenti/ricercatori</w:t>
      </w:r>
      <w:r w:rsidR="005F08EA" w:rsidRPr="005F08EA">
        <w:t xml:space="preserve"> = 168,6 M (-2,1</w:t>
      </w:r>
      <w:r w:rsidR="00C51244" w:rsidRPr="005F08EA">
        <w:t>)</w:t>
      </w:r>
    </w:p>
    <w:p w:rsidR="001527EC" w:rsidRPr="005F08EA" w:rsidRDefault="005F08EA" w:rsidP="007810C0">
      <w:pPr>
        <w:pStyle w:val="Paragrafoelenco"/>
        <w:numPr>
          <w:ilvl w:val="0"/>
          <w:numId w:val="10"/>
        </w:numPr>
      </w:pPr>
      <w:r w:rsidRPr="005F08EA">
        <w:t>Competenze fisse 125,6 M (+0,7)</w:t>
      </w:r>
      <w:r w:rsidR="001527EC" w:rsidRPr="005F08EA">
        <w:t>;</w:t>
      </w:r>
    </w:p>
    <w:p w:rsidR="001527EC" w:rsidRPr="005F08EA" w:rsidRDefault="001527EC" w:rsidP="007810C0">
      <w:pPr>
        <w:pStyle w:val="Paragrafoelenco"/>
        <w:numPr>
          <w:ilvl w:val="0"/>
          <w:numId w:val="10"/>
        </w:numPr>
      </w:pPr>
      <w:r w:rsidRPr="005F08EA">
        <w:t xml:space="preserve">Competenze accessorie per supplenze, indennità di rischio, premialità </w:t>
      </w:r>
      <w:r w:rsidR="005F08EA" w:rsidRPr="005F08EA">
        <w:t>2,8 M (-0,1</w:t>
      </w:r>
      <w:r w:rsidRPr="005F08EA">
        <w:t>);</w:t>
      </w:r>
    </w:p>
    <w:p w:rsidR="001527EC" w:rsidRPr="005F08EA" w:rsidRDefault="005F08EA" w:rsidP="007810C0">
      <w:pPr>
        <w:pStyle w:val="Paragrafoelenco"/>
        <w:numPr>
          <w:ilvl w:val="0"/>
          <w:numId w:val="10"/>
        </w:numPr>
      </w:pPr>
      <w:r w:rsidRPr="005F08EA">
        <w:t>Conto terzi individuale 1,8 M (-</w:t>
      </w:r>
      <w:r w:rsidR="001527EC" w:rsidRPr="005F08EA">
        <w:t>0,1);</w:t>
      </w:r>
    </w:p>
    <w:p w:rsidR="001527EC" w:rsidRPr="005F08EA" w:rsidRDefault="005F08EA" w:rsidP="007810C0">
      <w:pPr>
        <w:pStyle w:val="Paragrafoelenco"/>
        <w:numPr>
          <w:ilvl w:val="0"/>
          <w:numId w:val="10"/>
        </w:numPr>
      </w:pPr>
      <w:r w:rsidRPr="005F08EA">
        <w:t>Spese viaggi e missioni 0,6 M (-2,7</w:t>
      </w:r>
      <w:r w:rsidR="001527EC" w:rsidRPr="005F08EA">
        <w:t>).</w:t>
      </w:r>
    </w:p>
    <w:p w:rsidR="007A3675" w:rsidRPr="005F08EA" w:rsidRDefault="007A3675" w:rsidP="00D1306F">
      <w:pPr>
        <w:ind w:left="0" w:firstLine="0"/>
      </w:pPr>
      <w:r w:rsidRPr="005F08EA">
        <w:rPr>
          <w:b/>
        </w:rPr>
        <w:t>b) collaborazioni scientifiche (collaboratori, assegnisti, ecc)</w:t>
      </w:r>
      <w:r w:rsidR="005F08EA" w:rsidRPr="005F08EA">
        <w:t xml:space="preserve"> = 20,7 M (+0,1</w:t>
      </w:r>
      <w:r w:rsidR="00C51244" w:rsidRPr="005F08EA">
        <w:t>)</w:t>
      </w:r>
    </w:p>
    <w:p w:rsidR="007A3675" w:rsidRPr="005F08EA" w:rsidRDefault="007A3675" w:rsidP="00D1306F">
      <w:pPr>
        <w:ind w:left="0" w:firstLine="0"/>
      </w:pPr>
      <w:r w:rsidRPr="005F08EA">
        <w:rPr>
          <w:b/>
        </w:rPr>
        <w:t>c) docenti a contratto</w:t>
      </w:r>
      <w:r w:rsidR="00C51244" w:rsidRPr="005F08EA">
        <w:rPr>
          <w:b/>
        </w:rPr>
        <w:t xml:space="preserve"> </w:t>
      </w:r>
      <w:r w:rsidR="005F08EA" w:rsidRPr="005F08EA">
        <w:t>= 1,6</w:t>
      </w:r>
      <w:r w:rsidR="001527EC" w:rsidRPr="005F08EA">
        <w:t xml:space="preserve"> M (stabile</w:t>
      </w:r>
      <w:r w:rsidR="00C51244" w:rsidRPr="005F08EA">
        <w:t>)</w:t>
      </w:r>
    </w:p>
    <w:p w:rsidR="007A3675" w:rsidRPr="005F08EA" w:rsidRDefault="007A3675" w:rsidP="00D1306F">
      <w:pPr>
        <w:ind w:left="0" w:firstLine="0"/>
      </w:pPr>
      <w:r w:rsidRPr="005F08EA">
        <w:rPr>
          <w:b/>
        </w:rPr>
        <w:t>d) esperti linguistici</w:t>
      </w:r>
      <w:r w:rsidR="001527EC" w:rsidRPr="005F08EA">
        <w:t xml:space="preserve"> = 1 M (stabile</w:t>
      </w:r>
      <w:r w:rsidR="00C51244" w:rsidRPr="005F08EA">
        <w:t>)</w:t>
      </w:r>
    </w:p>
    <w:p w:rsidR="007A3675" w:rsidRPr="005F08EA" w:rsidRDefault="007A3675" w:rsidP="00D1306F">
      <w:pPr>
        <w:ind w:left="0" w:firstLine="0"/>
      </w:pPr>
      <w:r w:rsidRPr="005F08EA">
        <w:rPr>
          <w:b/>
        </w:rPr>
        <w:t>e) altro personale dedicato alla didattica e alla ricerca</w:t>
      </w:r>
      <w:r w:rsidR="00C51244" w:rsidRPr="005F08EA">
        <w:t xml:space="preserve"> = 2</w:t>
      </w:r>
      <w:r w:rsidR="001527EC" w:rsidRPr="005F08EA">
        <w:t>,9 M (+0,9</w:t>
      </w:r>
      <w:r w:rsidR="00C51244" w:rsidRPr="005F08EA">
        <w:t>)</w:t>
      </w:r>
    </w:p>
    <w:p w:rsidR="007810C0" w:rsidRDefault="007A3675" w:rsidP="00D1306F">
      <w:pPr>
        <w:ind w:left="0" w:firstLine="0"/>
      </w:pPr>
      <w:r w:rsidRPr="005F08EA">
        <w:rPr>
          <w:b/>
        </w:rPr>
        <w:t>2) Costi del personale dirigente e tecnico amministrativo</w:t>
      </w:r>
      <w:r w:rsidR="00C51244" w:rsidRPr="005F08EA">
        <w:rPr>
          <w:b/>
        </w:rPr>
        <w:t xml:space="preserve"> </w:t>
      </w:r>
      <w:r w:rsidR="005F08EA" w:rsidRPr="005F08EA">
        <w:t>= 73,2 (stabile</w:t>
      </w:r>
      <w:r w:rsidR="00C51244" w:rsidRPr="005F08EA">
        <w:t>)</w:t>
      </w:r>
      <w:r w:rsidR="005F08EA" w:rsidRPr="005F08EA">
        <w:t>: nel 2019</w:t>
      </w:r>
      <w:r w:rsidR="00DF0962">
        <w:t>,</w:t>
      </w:r>
      <w:r w:rsidR="00A37709" w:rsidRPr="005F08EA">
        <w:t xml:space="preserve"> </w:t>
      </w:r>
      <w:r w:rsidR="005F08EA" w:rsidRPr="005F08EA">
        <w:t>rispetto al 2018</w:t>
      </w:r>
      <w:r w:rsidR="00DF0962">
        <w:t>, ci</w:t>
      </w:r>
      <w:r w:rsidR="001061D1" w:rsidRPr="005F08EA">
        <w:t xml:space="preserve"> </w:t>
      </w:r>
      <w:r w:rsidR="005F08EA" w:rsidRPr="005F08EA">
        <w:t xml:space="preserve">fu </w:t>
      </w:r>
      <w:r w:rsidR="00DF0962">
        <w:t xml:space="preserve">invece un aumento </w:t>
      </w:r>
      <w:r w:rsidR="005F08EA" w:rsidRPr="005F08EA">
        <w:t>di 2,7</w:t>
      </w:r>
      <w:r w:rsidR="007810C0" w:rsidRPr="005F08EA">
        <w:t xml:space="preserve"> </w:t>
      </w:r>
      <w:r w:rsidR="009271FA" w:rsidRPr="005F08EA">
        <w:t>M</w:t>
      </w:r>
      <w:r w:rsidR="007810C0" w:rsidRPr="005F08EA">
        <w:t>.</w:t>
      </w:r>
    </w:p>
    <w:p w:rsidR="001D023E" w:rsidRPr="00440DB6" w:rsidRDefault="001D023E" w:rsidP="005D4CDE">
      <w:pPr>
        <w:pStyle w:val="Paragrafoelenco"/>
        <w:numPr>
          <w:ilvl w:val="0"/>
          <w:numId w:val="20"/>
        </w:numPr>
        <w:rPr>
          <w:rFonts w:eastAsia="Times New Roman"/>
          <w:color w:val="auto"/>
          <w:szCs w:val="20"/>
        </w:rPr>
      </w:pPr>
      <w:r w:rsidRPr="00440DB6">
        <w:rPr>
          <w:rFonts w:eastAsia="Times New Roman"/>
          <w:color w:val="auto"/>
          <w:szCs w:val="20"/>
        </w:rPr>
        <w:t>Retribuzione complessiva Direttore Generale e Dirigenti 1</w:t>
      </w:r>
      <w:r w:rsidR="00453E19" w:rsidRPr="00440DB6">
        <w:rPr>
          <w:rFonts w:eastAsia="Times New Roman"/>
          <w:color w:val="auto"/>
          <w:szCs w:val="20"/>
        </w:rPr>
        <w:t xml:space="preserve"> </w:t>
      </w:r>
      <w:r w:rsidRPr="00440DB6">
        <w:rPr>
          <w:rFonts w:eastAsia="Times New Roman"/>
          <w:color w:val="auto"/>
          <w:szCs w:val="20"/>
        </w:rPr>
        <w:t>M</w:t>
      </w:r>
      <w:r w:rsidR="007B0608" w:rsidRPr="00440DB6">
        <w:rPr>
          <w:rFonts w:eastAsia="Times New Roman"/>
          <w:color w:val="auto"/>
          <w:szCs w:val="20"/>
        </w:rPr>
        <w:t xml:space="preserve"> </w:t>
      </w:r>
      <w:r w:rsidR="00453E19" w:rsidRPr="00440DB6">
        <w:rPr>
          <w:rFonts w:eastAsia="Times New Roman"/>
          <w:color w:val="auto"/>
          <w:szCs w:val="20"/>
        </w:rPr>
        <w:t>(stabile</w:t>
      </w:r>
      <w:r w:rsidR="007B0608" w:rsidRPr="00440DB6">
        <w:rPr>
          <w:rFonts w:eastAsia="Times New Roman"/>
          <w:color w:val="auto"/>
          <w:szCs w:val="20"/>
        </w:rPr>
        <w:t>)</w:t>
      </w:r>
      <w:r w:rsidR="006F3BC7" w:rsidRPr="00440DB6">
        <w:rPr>
          <w:rFonts w:eastAsia="Times New Roman"/>
          <w:color w:val="auto"/>
          <w:szCs w:val="20"/>
        </w:rPr>
        <w:t>;</w:t>
      </w:r>
    </w:p>
    <w:p w:rsidR="007A3675" w:rsidRPr="00951862" w:rsidRDefault="00C51244" w:rsidP="005D4CDE">
      <w:pPr>
        <w:pStyle w:val="Paragrafoelenco"/>
        <w:numPr>
          <w:ilvl w:val="0"/>
          <w:numId w:val="20"/>
        </w:numPr>
        <w:rPr>
          <w:color w:val="auto"/>
          <w:szCs w:val="20"/>
        </w:rPr>
      </w:pPr>
      <w:r w:rsidRPr="00951862">
        <w:rPr>
          <w:rFonts w:eastAsia="Times New Roman"/>
          <w:color w:val="auto"/>
          <w:szCs w:val="20"/>
        </w:rPr>
        <w:t>Competenze fisse al personale tecnico amministrativo a tempo indeterminato</w:t>
      </w:r>
      <w:r w:rsidR="00951862" w:rsidRPr="00951862">
        <w:rPr>
          <w:rFonts w:eastAsia="Times New Roman"/>
          <w:color w:val="auto"/>
          <w:szCs w:val="20"/>
        </w:rPr>
        <w:t xml:space="preserve"> 49,3 M (stabile)</w:t>
      </w:r>
      <w:r w:rsidR="006F3BC7" w:rsidRPr="00951862">
        <w:rPr>
          <w:rFonts w:eastAsia="Times New Roman"/>
          <w:color w:val="auto"/>
          <w:szCs w:val="20"/>
        </w:rPr>
        <w:t>;</w:t>
      </w:r>
    </w:p>
    <w:p w:rsidR="00C51244" w:rsidRPr="00951862" w:rsidRDefault="00C51244" w:rsidP="005D4CDE">
      <w:pPr>
        <w:pStyle w:val="Paragrafoelenco"/>
        <w:numPr>
          <w:ilvl w:val="0"/>
          <w:numId w:val="20"/>
        </w:numPr>
        <w:rPr>
          <w:color w:val="auto"/>
          <w:szCs w:val="20"/>
        </w:rPr>
      </w:pPr>
      <w:r w:rsidRPr="00951862">
        <w:rPr>
          <w:rFonts w:eastAsia="Times New Roman"/>
          <w:color w:val="auto"/>
          <w:szCs w:val="20"/>
        </w:rPr>
        <w:t>Retribuzione di posizione art. 76 CCNL 06/09 - EP - personale TI</w:t>
      </w:r>
      <w:r w:rsidR="00951862" w:rsidRPr="00951862">
        <w:rPr>
          <w:rFonts w:eastAsia="Times New Roman"/>
          <w:color w:val="auto"/>
          <w:szCs w:val="20"/>
        </w:rPr>
        <w:t xml:space="preserve"> 798</w:t>
      </w:r>
      <w:r w:rsidR="001D023E" w:rsidRPr="00951862">
        <w:rPr>
          <w:rFonts w:eastAsia="Times New Roman"/>
          <w:color w:val="auto"/>
          <w:szCs w:val="20"/>
        </w:rPr>
        <w:t>.000</w:t>
      </w:r>
      <w:r w:rsidR="00453E19" w:rsidRPr="00951862">
        <w:rPr>
          <w:rFonts w:eastAsia="Times New Roman"/>
          <w:color w:val="auto"/>
          <w:szCs w:val="20"/>
        </w:rPr>
        <w:t xml:space="preserve"> </w:t>
      </w:r>
      <w:r w:rsidR="00F96EAC" w:rsidRPr="00951862">
        <w:rPr>
          <w:rFonts w:eastAsia="Times New Roman"/>
          <w:color w:val="auto"/>
          <w:szCs w:val="20"/>
        </w:rPr>
        <w:t>€</w:t>
      </w:r>
      <w:r w:rsidR="00951862" w:rsidRPr="00951862">
        <w:rPr>
          <w:rFonts w:eastAsia="Times New Roman"/>
          <w:color w:val="auto"/>
          <w:szCs w:val="20"/>
        </w:rPr>
        <w:t xml:space="preserve"> (+</w:t>
      </w:r>
      <w:r w:rsidR="00453E19" w:rsidRPr="00951862">
        <w:rPr>
          <w:rFonts w:eastAsia="Times New Roman"/>
          <w:color w:val="auto"/>
          <w:szCs w:val="20"/>
        </w:rPr>
        <w:t>4</w:t>
      </w:r>
      <w:r w:rsidR="001D023E" w:rsidRPr="00951862">
        <w:rPr>
          <w:rFonts w:eastAsia="Times New Roman"/>
          <w:color w:val="auto"/>
          <w:szCs w:val="20"/>
        </w:rPr>
        <w:t>.000)</w:t>
      </w:r>
      <w:r w:rsidR="006F3BC7" w:rsidRPr="00951862">
        <w:rPr>
          <w:rFonts w:eastAsia="Times New Roman"/>
          <w:color w:val="auto"/>
          <w:szCs w:val="20"/>
        </w:rPr>
        <w:t>;</w:t>
      </w:r>
    </w:p>
    <w:p w:rsidR="00C51244" w:rsidRPr="00440DB6" w:rsidRDefault="00C51244" w:rsidP="00951862">
      <w:pPr>
        <w:pStyle w:val="Paragrafoelenco"/>
        <w:numPr>
          <w:ilvl w:val="0"/>
          <w:numId w:val="20"/>
        </w:numPr>
        <w:rPr>
          <w:rFonts w:eastAsia="Times New Roman"/>
          <w:color w:val="auto"/>
          <w:szCs w:val="20"/>
        </w:rPr>
      </w:pPr>
      <w:r w:rsidRPr="00440DB6">
        <w:rPr>
          <w:rFonts w:eastAsia="Times New Roman"/>
          <w:color w:val="auto"/>
          <w:szCs w:val="20"/>
        </w:rPr>
        <w:t>Indennità di lavoro disagiato - personale TI</w:t>
      </w:r>
      <w:r w:rsidR="00951862" w:rsidRPr="00440DB6">
        <w:rPr>
          <w:rFonts w:eastAsia="Times New Roman"/>
          <w:color w:val="auto"/>
          <w:szCs w:val="20"/>
        </w:rPr>
        <w:t xml:space="preserve"> 43.000 € (-11</w:t>
      </w:r>
      <w:r w:rsidR="00F96EAC" w:rsidRPr="00440DB6">
        <w:rPr>
          <w:rFonts w:eastAsia="Times New Roman"/>
          <w:color w:val="auto"/>
          <w:szCs w:val="20"/>
        </w:rPr>
        <w:t>.000)</w:t>
      </w:r>
      <w:r w:rsidR="006F3BC7" w:rsidRPr="00440DB6">
        <w:rPr>
          <w:rFonts w:eastAsia="Times New Roman"/>
          <w:color w:val="auto"/>
          <w:szCs w:val="20"/>
        </w:rPr>
        <w:t>;</w:t>
      </w:r>
    </w:p>
    <w:p w:rsidR="00C51244" w:rsidRPr="00440DB6" w:rsidRDefault="00C51244" w:rsidP="005D4CDE">
      <w:pPr>
        <w:pStyle w:val="Paragrafoelenco"/>
        <w:numPr>
          <w:ilvl w:val="0"/>
          <w:numId w:val="20"/>
        </w:numPr>
        <w:rPr>
          <w:rFonts w:eastAsia="Times New Roman"/>
          <w:color w:val="auto"/>
          <w:szCs w:val="20"/>
        </w:rPr>
      </w:pPr>
      <w:r w:rsidRPr="00440DB6">
        <w:rPr>
          <w:rFonts w:eastAsia="Times New Roman"/>
          <w:color w:val="auto"/>
          <w:szCs w:val="20"/>
        </w:rPr>
        <w:t>Indennità di turno - personale TI</w:t>
      </w:r>
      <w:r w:rsidR="00951862" w:rsidRPr="00440DB6">
        <w:rPr>
          <w:rFonts w:eastAsia="Times New Roman"/>
          <w:color w:val="auto"/>
          <w:szCs w:val="20"/>
        </w:rPr>
        <w:t xml:space="preserve"> 64.000 € (-41</w:t>
      </w:r>
      <w:r w:rsidR="00F96EAC" w:rsidRPr="00440DB6">
        <w:rPr>
          <w:rFonts w:eastAsia="Times New Roman"/>
          <w:color w:val="auto"/>
          <w:szCs w:val="20"/>
        </w:rPr>
        <w:t>.000)</w:t>
      </w:r>
      <w:r w:rsidR="006F3BC7" w:rsidRPr="00440DB6">
        <w:rPr>
          <w:rFonts w:eastAsia="Times New Roman"/>
          <w:color w:val="auto"/>
          <w:szCs w:val="20"/>
        </w:rPr>
        <w:t>;</w:t>
      </w:r>
    </w:p>
    <w:p w:rsidR="00C51244" w:rsidRPr="00440DB6" w:rsidRDefault="00C51244" w:rsidP="005D4CDE">
      <w:pPr>
        <w:pStyle w:val="Paragrafoelenco"/>
        <w:numPr>
          <w:ilvl w:val="0"/>
          <w:numId w:val="20"/>
        </w:numPr>
        <w:rPr>
          <w:rFonts w:eastAsia="Times New Roman"/>
          <w:color w:val="auto"/>
          <w:szCs w:val="20"/>
        </w:rPr>
      </w:pPr>
      <w:r w:rsidRPr="00440DB6">
        <w:rPr>
          <w:rFonts w:eastAsia="Times New Roman"/>
          <w:color w:val="auto"/>
          <w:szCs w:val="20"/>
        </w:rPr>
        <w:t>Indennità addetti sportello - personale TI</w:t>
      </w:r>
      <w:r w:rsidR="00951862" w:rsidRPr="00440DB6">
        <w:rPr>
          <w:rFonts w:eastAsia="Times New Roman"/>
          <w:color w:val="auto"/>
          <w:szCs w:val="20"/>
        </w:rPr>
        <w:t xml:space="preserve"> 39.408 € (-8.000</w:t>
      </w:r>
      <w:r w:rsidR="00F96EAC" w:rsidRPr="00440DB6">
        <w:rPr>
          <w:rFonts w:eastAsia="Times New Roman"/>
          <w:color w:val="auto"/>
          <w:szCs w:val="20"/>
        </w:rPr>
        <w:t>)</w:t>
      </w:r>
      <w:r w:rsidR="006F3BC7" w:rsidRPr="00440DB6">
        <w:rPr>
          <w:rFonts w:eastAsia="Times New Roman"/>
          <w:color w:val="auto"/>
          <w:szCs w:val="20"/>
        </w:rPr>
        <w:t>;</w:t>
      </w:r>
    </w:p>
    <w:p w:rsidR="00453E19" w:rsidRPr="00440DB6" w:rsidRDefault="00453E19" w:rsidP="005D4CDE">
      <w:pPr>
        <w:pStyle w:val="Paragrafoelenco"/>
        <w:numPr>
          <w:ilvl w:val="0"/>
          <w:numId w:val="20"/>
        </w:numPr>
        <w:rPr>
          <w:rFonts w:eastAsia="Times New Roman"/>
          <w:color w:val="auto"/>
          <w:szCs w:val="20"/>
        </w:rPr>
      </w:pPr>
      <w:r w:rsidRPr="00440DB6">
        <w:rPr>
          <w:rFonts w:eastAsia="Times New Roman"/>
          <w:color w:val="auto"/>
          <w:szCs w:val="20"/>
        </w:rPr>
        <w:t>Premialità art.9, c.1. L.240/10 personale TI</w:t>
      </w:r>
      <w:r w:rsidR="00B3596C" w:rsidRPr="00440DB6">
        <w:rPr>
          <w:rFonts w:eastAsia="Times New Roman"/>
          <w:color w:val="auto"/>
          <w:szCs w:val="20"/>
        </w:rPr>
        <w:t xml:space="preserve"> (Indennità Performance Organizzativa)</w:t>
      </w:r>
      <w:r w:rsidR="00951862" w:rsidRPr="00440DB6">
        <w:rPr>
          <w:rFonts w:eastAsia="Times New Roman"/>
          <w:color w:val="auto"/>
          <w:szCs w:val="20"/>
        </w:rPr>
        <w:t xml:space="preserve"> 129.000 € (-8.000</w:t>
      </w:r>
      <w:r w:rsidRPr="00440DB6">
        <w:rPr>
          <w:rFonts w:eastAsia="Times New Roman"/>
          <w:color w:val="auto"/>
          <w:szCs w:val="20"/>
        </w:rPr>
        <w:t>);</w:t>
      </w:r>
    </w:p>
    <w:p w:rsidR="00B230FD" w:rsidRPr="00440DB6" w:rsidRDefault="00C51244" w:rsidP="005D4CDE">
      <w:pPr>
        <w:pStyle w:val="Paragrafoelenco"/>
        <w:numPr>
          <w:ilvl w:val="0"/>
          <w:numId w:val="20"/>
        </w:numPr>
        <w:rPr>
          <w:rFonts w:eastAsia="Times New Roman"/>
          <w:color w:val="auto"/>
          <w:szCs w:val="20"/>
        </w:rPr>
      </w:pPr>
      <w:r w:rsidRPr="00440DB6">
        <w:rPr>
          <w:rFonts w:eastAsia="Times New Roman"/>
          <w:color w:val="auto"/>
          <w:szCs w:val="20"/>
        </w:rPr>
        <w:t>Competenze fisse al personale tecnico amministrativo a tempo determinato</w:t>
      </w:r>
      <w:r w:rsidR="00951862" w:rsidRPr="00440DB6">
        <w:rPr>
          <w:rFonts w:eastAsia="Times New Roman"/>
          <w:color w:val="auto"/>
          <w:szCs w:val="20"/>
        </w:rPr>
        <w:t xml:space="preserve"> 1,4 M (+263</w:t>
      </w:r>
      <w:r w:rsidR="00B230FD" w:rsidRPr="00440DB6">
        <w:rPr>
          <w:rFonts w:eastAsia="Times New Roman"/>
          <w:color w:val="auto"/>
          <w:szCs w:val="20"/>
        </w:rPr>
        <w:t>.000</w:t>
      </w:r>
      <w:r w:rsidR="00440DB6" w:rsidRPr="00440DB6">
        <w:rPr>
          <w:rFonts w:eastAsia="Times New Roman"/>
          <w:color w:val="auto"/>
          <w:szCs w:val="20"/>
        </w:rPr>
        <w:t xml:space="preserve"> €, +1</w:t>
      </w:r>
      <w:r w:rsidR="00453E19" w:rsidRPr="00440DB6">
        <w:rPr>
          <w:rFonts w:eastAsia="Times New Roman"/>
          <w:color w:val="auto"/>
          <w:szCs w:val="20"/>
        </w:rPr>
        <w:t xml:space="preserve"> unità</w:t>
      </w:r>
      <w:r w:rsidR="00B230FD" w:rsidRPr="00440DB6">
        <w:rPr>
          <w:rFonts w:eastAsia="Times New Roman"/>
          <w:color w:val="auto"/>
          <w:szCs w:val="20"/>
        </w:rPr>
        <w:t>)</w:t>
      </w:r>
    </w:p>
    <w:p w:rsidR="00C51244" w:rsidRPr="00440DB6" w:rsidRDefault="00C51244" w:rsidP="005D4CDE">
      <w:pPr>
        <w:pStyle w:val="Paragrafoelenco"/>
        <w:numPr>
          <w:ilvl w:val="0"/>
          <w:numId w:val="20"/>
        </w:numPr>
        <w:rPr>
          <w:rFonts w:eastAsia="Times New Roman"/>
          <w:color w:val="auto"/>
          <w:szCs w:val="20"/>
        </w:rPr>
      </w:pPr>
      <w:r w:rsidRPr="00440DB6">
        <w:rPr>
          <w:rFonts w:eastAsia="Times New Roman"/>
          <w:color w:val="auto"/>
          <w:szCs w:val="20"/>
        </w:rPr>
        <w:t>Straordinario al personale tecnico amministrativo a tempo indeterminato</w:t>
      </w:r>
      <w:r w:rsidR="00F96EAC" w:rsidRPr="00440DB6">
        <w:rPr>
          <w:rFonts w:eastAsia="Times New Roman"/>
          <w:color w:val="auto"/>
          <w:szCs w:val="20"/>
        </w:rPr>
        <w:t xml:space="preserve"> </w:t>
      </w:r>
      <w:r w:rsidR="00440DB6" w:rsidRPr="00440DB6">
        <w:rPr>
          <w:rFonts w:eastAsia="Times New Roman"/>
          <w:color w:val="auto"/>
          <w:szCs w:val="20"/>
        </w:rPr>
        <w:t>350.828 € (-158.280</w:t>
      </w:r>
      <w:r w:rsidR="00F96EAC" w:rsidRPr="00440DB6">
        <w:rPr>
          <w:rFonts w:eastAsia="Times New Roman"/>
          <w:color w:val="auto"/>
          <w:szCs w:val="20"/>
        </w:rPr>
        <w:t>)</w:t>
      </w:r>
      <w:r w:rsidR="006F3BC7" w:rsidRPr="00440DB6">
        <w:rPr>
          <w:rFonts w:eastAsia="Times New Roman"/>
          <w:color w:val="auto"/>
          <w:szCs w:val="20"/>
        </w:rPr>
        <w:t>;</w:t>
      </w:r>
    </w:p>
    <w:p w:rsidR="00F96EAC" w:rsidRPr="00440DB6" w:rsidRDefault="00C51244" w:rsidP="005D4CDE">
      <w:pPr>
        <w:pStyle w:val="Paragrafoelenco"/>
        <w:numPr>
          <w:ilvl w:val="0"/>
          <w:numId w:val="20"/>
        </w:numPr>
        <w:rPr>
          <w:rFonts w:eastAsia="Times New Roman"/>
          <w:color w:val="auto"/>
          <w:szCs w:val="20"/>
        </w:rPr>
      </w:pPr>
      <w:r w:rsidRPr="00440DB6">
        <w:rPr>
          <w:rFonts w:eastAsia="Times New Roman"/>
          <w:color w:val="auto"/>
          <w:szCs w:val="20"/>
        </w:rPr>
        <w:t>Dote Formativa Individuale</w:t>
      </w:r>
      <w:r w:rsidR="00440DB6" w:rsidRPr="00440DB6">
        <w:rPr>
          <w:rFonts w:eastAsia="Times New Roman"/>
          <w:color w:val="auto"/>
          <w:szCs w:val="20"/>
        </w:rPr>
        <w:t xml:space="preserve"> 145</w:t>
      </w:r>
      <w:r w:rsidR="00F96EAC" w:rsidRPr="00440DB6">
        <w:rPr>
          <w:rFonts w:eastAsia="Times New Roman"/>
          <w:color w:val="auto"/>
          <w:szCs w:val="20"/>
        </w:rPr>
        <w:t>.000</w:t>
      </w:r>
      <w:r w:rsidR="004E3E39" w:rsidRPr="00440DB6">
        <w:rPr>
          <w:rFonts w:eastAsia="Times New Roman"/>
          <w:color w:val="auto"/>
          <w:szCs w:val="20"/>
        </w:rPr>
        <w:t xml:space="preserve"> </w:t>
      </w:r>
      <w:r w:rsidR="00440DB6" w:rsidRPr="00440DB6">
        <w:rPr>
          <w:rFonts w:eastAsia="Times New Roman"/>
          <w:color w:val="auto"/>
          <w:szCs w:val="20"/>
        </w:rPr>
        <w:t>€ (-54</w:t>
      </w:r>
      <w:r w:rsidR="00F96EAC" w:rsidRPr="00440DB6">
        <w:rPr>
          <w:rFonts w:eastAsia="Times New Roman"/>
          <w:color w:val="auto"/>
          <w:szCs w:val="20"/>
        </w:rPr>
        <w:t>.000)</w:t>
      </w:r>
      <w:r w:rsidR="006F3BC7" w:rsidRPr="00440DB6">
        <w:rPr>
          <w:rFonts w:eastAsia="Times New Roman"/>
          <w:color w:val="auto"/>
          <w:szCs w:val="20"/>
        </w:rPr>
        <w:t>;</w:t>
      </w:r>
    </w:p>
    <w:p w:rsidR="00C51244" w:rsidRPr="00440DB6" w:rsidRDefault="00C51244" w:rsidP="005D4CDE">
      <w:pPr>
        <w:pStyle w:val="Paragrafoelenco"/>
        <w:numPr>
          <w:ilvl w:val="0"/>
          <w:numId w:val="20"/>
        </w:numPr>
        <w:rPr>
          <w:rFonts w:eastAsia="Times New Roman"/>
          <w:color w:val="auto"/>
          <w:szCs w:val="20"/>
        </w:rPr>
      </w:pPr>
      <w:r w:rsidRPr="00440DB6">
        <w:rPr>
          <w:rFonts w:eastAsia="Times New Roman"/>
          <w:color w:val="auto"/>
          <w:szCs w:val="20"/>
        </w:rPr>
        <w:t>Formazione obbligatoria ex lege</w:t>
      </w:r>
      <w:r w:rsidR="00440DB6" w:rsidRPr="00440DB6">
        <w:rPr>
          <w:rFonts w:eastAsia="Times New Roman"/>
          <w:color w:val="auto"/>
          <w:szCs w:val="20"/>
        </w:rPr>
        <w:t xml:space="preserve"> 101</w:t>
      </w:r>
      <w:r w:rsidR="00F96EAC" w:rsidRPr="00440DB6">
        <w:rPr>
          <w:rFonts w:eastAsia="Times New Roman"/>
          <w:color w:val="auto"/>
          <w:szCs w:val="20"/>
        </w:rPr>
        <w:t>.000</w:t>
      </w:r>
      <w:r w:rsidR="004E3E39" w:rsidRPr="00440DB6">
        <w:rPr>
          <w:rFonts w:eastAsia="Times New Roman"/>
          <w:color w:val="auto"/>
          <w:szCs w:val="20"/>
        </w:rPr>
        <w:t xml:space="preserve"> </w:t>
      </w:r>
      <w:r w:rsidR="00440DB6" w:rsidRPr="00440DB6">
        <w:rPr>
          <w:rFonts w:eastAsia="Times New Roman"/>
          <w:color w:val="auto"/>
          <w:szCs w:val="20"/>
        </w:rPr>
        <w:t>€ (-63</w:t>
      </w:r>
      <w:r w:rsidR="00F96EAC" w:rsidRPr="00440DB6">
        <w:rPr>
          <w:rFonts w:eastAsia="Times New Roman"/>
          <w:color w:val="auto"/>
          <w:szCs w:val="20"/>
        </w:rPr>
        <w:t>.000)</w:t>
      </w:r>
      <w:r w:rsidR="006F3BC7" w:rsidRPr="00440DB6">
        <w:rPr>
          <w:rFonts w:eastAsia="Times New Roman"/>
          <w:color w:val="auto"/>
          <w:szCs w:val="20"/>
        </w:rPr>
        <w:t>;</w:t>
      </w:r>
    </w:p>
    <w:p w:rsidR="00C51244" w:rsidRPr="00440DB6" w:rsidRDefault="00C51244" w:rsidP="005D4CDE">
      <w:pPr>
        <w:pStyle w:val="Paragrafoelenco"/>
        <w:numPr>
          <w:ilvl w:val="0"/>
          <w:numId w:val="20"/>
        </w:numPr>
        <w:rPr>
          <w:rFonts w:eastAsia="Times New Roman"/>
          <w:color w:val="auto"/>
          <w:szCs w:val="20"/>
        </w:rPr>
      </w:pPr>
      <w:r w:rsidRPr="00440DB6">
        <w:rPr>
          <w:rFonts w:eastAsia="Times New Roman"/>
          <w:color w:val="auto"/>
          <w:szCs w:val="20"/>
        </w:rPr>
        <w:t>Buoni Pasto</w:t>
      </w:r>
      <w:r w:rsidR="00440DB6" w:rsidRPr="00440DB6">
        <w:rPr>
          <w:rFonts w:eastAsia="Times New Roman"/>
          <w:color w:val="auto"/>
          <w:szCs w:val="20"/>
        </w:rPr>
        <w:t xml:space="preserve"> 1.971.000 € (+154</w:t>
      </w:r>
      <w:r w:rsidR="004E3E39" w:rsidRPr="00440DB6">
        <w:rPr>
          <w:rFonts w:eastAsia="Times New Roman"/>
          <w:color w:val="auto"/>
          <w:szCs w:val="20"/>
        </w:rPr>
        <w:t>.000</w:t>
      </w:r>
      <w:r w:rsidR="00F96EAC" w:rsidRPr="00440DB6">
        <w:rPr>
          <w:rFonts w:eastAsia="Times New Roman"/>
          <w:color w:val="auto"/>
          <w:szCs w:val="20"/>
        </w:rPr>
        <w:t>)</w:t>
      </w:r>
      <w:r w:rsidR="006F3BC7" w:rsidRPr="00440DB6">
        <w:rPr>
          <w:rFonts w:eastAsia="Times New Roman"/>
          <w:color w:val="auto"/>
          <w:szCs w:val="20"/>
        </w:rPr>
        <w:t>;</w:t>
      </w:r>
    </w:p>
    <w:p w:rsidR="00C51244" w:rsidRPr="00440DB6" w:rsidRDefault="00C51244" w:rsidP="005D4CDE">
      <w:pPr>
        <w:pStyle w:val="Paragrafoelenco"/>
        <w:numPr>
          <w:ilvl w:val="0"/>
          <w:numId w:val="20"/>
        </w:numPr>
        <w:rPr>
          <w:rFonts w:eastAsia="Times New Roman"/>
          <w:color w:val="auto"/>
          <w:szCs w:val="20"/>
        </w:rPr>
      </w:pPr>
      <w:r w:rsidRPr="00440DB6">
        <w:rPr>
          <w:rFonts w:eastAsia="Times New Roman"/>
          <w:color w:val="auto"/>
          <w:szCs w:val="20"/>
        </w:rPr>
        <w:t>Mensa</w:t>
      </w:r>
      <w:r w:rsidR="004E3E39" w:rsidRPr="00440DB6">
        <w:rPr>
          <w:rFonts w:eastAsia="Times New Roman"/>
          <w:color w:val="auto"/>
          <w:szCs w:val="20"/>
        </w:rPr>
        <w:t xml:space="preserve"> </w:t>
      </w:r>
      <w:r w:rsidR="00B3596C" w:rsidRPr="00440DB6">
        <w:rPr>
          <w:rFonts w:eastAsia="Times New Roman"/>
          <w:color w:val="auto"/>
          <w:szCs w:val="20"/>
        </w:rPr>
        <w:t xml:space="preserve">(es. mense ospedaliere) </w:t>
      </w:r>
      <w:r w:rsidR="00440DB6" w:rsidRPr="00440DB6">
        <w:rPr>
          <w:rFonts w:eastAsia="Times New Roman"/>
          <w:color w:val="auto"/>
          <w:szCs w:val="20"/>
        </w:rPr>
        <w:t>2.000 € (-9</w:t>
      </w:r>
      <w:r w:rsidR="004E3E39" w:rsidRPr="00440DB6">
        <w:rPr>
          <w:rFonts w:eastAsia="Times New Roman"/>
          <w:color w:val="auto"/>
          <w:szCs w:val="20"/>
        </w:rPr>
        <w:t>7</w:t>
      </w:r>
      <w:r w:rsidR="00F96EAC" w:rsidRPr="00440DB6">
        <w:rPr>
          <w:rFonts w:eastAsia="Times New Roman"/>
          <w:color w:val="auto"/>
          <w:szCs w:val="20"/>
        </w:rPr>
        <w:t>.000)</w:t>
      </w:r>
      <w:r w:rsidR="004E3E39" w:rsidRPr="00440DB6">
        <w:rPr>
          <w:rFonts w:eastAsia="Times New Roman"/>
          <w:color w:val="auto"/>
          <w:szCs w:val="20"/>
        </w:rPr>
        <w:t>;</w:t>
      </w:r>
    </w:p>
    <w:p w:rsidR="004E3E39" w:rsidRPr="00440DB6" w:rsidRDefault="004E3E39" w:rsidP="005D4CDE">
      <w:pPr>
        <w:pStyle w:val="Paragrafoelenco"/>
        <w:numPr>
          <w:ilvl w:val="0"/>
          <w:numId w:val="20"/>
        </w:numPr>
        <w:rPr>
          <w:rFonts w:eastAsia="Times New Roman"/>
          <w:color w:val="auto"/>
          <w:szCs w:val="20"/>
        </w:rPr>
      </w:pPr>
      <w:r w:rsidRPr="00440DB6">
        <w:rPr>
          <w:rFonts w:eastAsia="Times New Roman"/>
          <w:color w:val="auto"/>
          <w:szCs w:val="20"/>
        </w:rPr>
        <w:t>Missioni e rimbor</w:t>
      </w:r>
      <w:r w:rsidR="00440DB6" w:rsidRPr="00440DB6">
        <w:rPr>
          <w:rFonts w:eastAsia="Times New Roman"/>
          <w:color w:val="auto"/>
          <w:szCs w:val="20"/>
        </w:rPr>
        <w:t>si viaggi 72.000 € (-85</w:t>
      </w:r>
      <w:r w:rsidRPr="00440DB6">
        <w:rPr>
          <w:rFonts w:eastAsia="Times New Roman"/>
          <w:color w:val="auto"/>
          <w:szCs w:val="20"/>
        </w:rPr>
        <w:t>.000);</w:t>
      </w:r>
    </w:p>
    <w:p w:rsidR="00951862" w:rsidRPr="00951862" w:rsidRDefault="00951862" w:rsidP="00951862">
      <w:pPr>
        <w:numPr>
          <w:ilvl w:val="0"/>
          <w:numId w:val="20"/>
        </w:numPr>
      </w:pPr>
      <w:r w:rsidRPr="00D464FC">
        <w:t xml:space="preserve">Conto Terzi </w:t>
      </w:r>
      <w:r>
        <w:t>individuale 679.000 € (-63</w:t>
      </w:r>
      <w:r w:rsidRPr="00D464FC">
        <w:t>.000).</w:t>
      </w:r>
    </w:p>
    <w:p w:rsidR="004E3E39" w:rsidRPr="00D464FC" w:rsidRDefault="004E3E39" w:rsidP="00C51244">
      <w:pPr>
        <w:rPr>
          <w:rFonts w:eastAsia="Times New Roman"/>
          <w:i/>
          <w:color w:val="FF0000"/>
          <w:szCs w:val="20"/>
        </w:rPr>
      </w:pPr>
    </w:p>
    <w:p w:rsidR="008249BA" w:rsidRPr="00D464FC" w:rsidRDefault="009271FA" w:rsidP="00C51244">
      <w:pPr>
        <w:rPr>
          <w:rFonts w:eastAsia="Times New Roman"/>
          <w:szCs w:val="20"/>
        </w:rPr>
      </w:pPr>
      <w:r w:rsidRPr="00D464FC">
        <w:rPr>
          <w:rFonts w:eastAsia="Times New Roman"/>
          <w:szCs w:val="20"/>
        </w:rPr>
        <w:t>______________</w:t>
      </w:r>
    </w:p>
    <w:p w:rsidR="008249BA" w:rsidRPr="00924111" w:rsidRDefault="008249BA" w:rsidP="00C51244">
      <w:pPr>
        <w:rPr>
          <w:rFonts w:eastAsia="Times New Roman"/>
          <w:b/>
          <w:i/>
          <w:szCs w:val="20"/>
        </w:rPr>
      </w:pPr>
      <w:r w:rsidRPr="00924111">
        <w:rPr>
          <w:rFonts w:eastAsia="Times New Roman"/>
          <w:b/>
          <w:i/>
          <w:szCs w:val="20"/>
        </w:rPr>
        <w:t>ORGANICO</w:t>
      </w:r>
      <w:r w:rsidR="006551FF" w:rsidRPr="00924111">
        <w:rPr>
          <w:rFonts w:eastAsia="Times New Roman"/>
          <w:b/>
          <w:i/>
          <w:szCs w:val="20"/>
        </w:rPr>
        <w:t xml:space="preserve"> </w:t>
      </w:r>
      <w:r w:rsidR="00D464FC" w:rsidRPr="00924111">
        <w:rPr>
          <w:rFonts w:eastAsia="Times New Roman"/>
          <w:i/>
          <w:szCs w:val="20"/>
        </w:rPr>
        <w:t>(pgg. 125-</w:t>
      </w:r>
      <w:r w:rsidR="007E5C93">
        <w:rPr>
          <w:rFonts w:eastAsia="Times New Roman"/>
          <w:i/>
          <w:szCs w:val="20"/>
        </w:rPr>
        <w:t>143</w:t>
      </w:r>
      <w:r w:rsidR="006551FF" w:rsidRPr="00924111">
        <w:rPr>
          <w:rFonts w:eastAsia="Times New Roman"/>
          <w:i/>
          <w:szCs w:val="20"/>
        </w:rPr>
        <w:t>)</w:t>
      </w:r>
    </w:p>
    <w:p w:rsidR="008249BA" w:rsidRPr="00924111" w:rsidRDefault="008249BA" w:rsidP="00C51244">
      <w:pPr>
        <w:rPr>
          <w:rFonts w:eastAsia="Times New Roman"/>
          <w:i/>
          <w:szCs w:val="20"/>
        </w:rPr>
      </w:pPr>
    </w:p>
    <w:p w:rsidR="004D08D1" w:rsidRPr="00924111" w:rsidRDefault="009271FA" w:rsidP="004D08D1">
      <w:pPr>
        <w:rPr>
          <w:rFonts w:eastAsia="Times New Roman"/>
          <w:b/>
          <w:szCs w:val="20"/>
        </w:rPr>
      </w:pPr>
      <w:r w:rsidRPr="00924111">
        <w:rPr>
          <w:rFonts w:eastAsia="Times New Roman"/>
          <w:b/>
          <w:szCs w:val="20"/>
        </w:rPr>
        <w:t>A</w:t>
      </w:r>
      <w:r w:rsidR="00C42FAE" w:rsidRPr="00924111">
        <w:rPr>
          <w:rFonts w:eastAsia="Times New Roman"/>
          <w:b/>
          <w:szCs w:val="20"/>
        </w:rPr>
        <w:t xml:space="preserve">) </w:t>
      </w:r>
      <w:r w:rsidR="008249BA" w:rsidRPr="00924111">
        <w:rPr>
          <w:rFonts w:eastAsia="Times New Roman"/>
          <w:b/>
          <w:szCs w:val="20"/>
        </w:rPr>
        <w:t>Assunzioni 201</w:t>
      </w:r>
      <w:r w:rsidR="00D464FC" w:rsidRPr="00924111">
        <w:rPr>
          <w:rFonts w:eastAsia="Times New Roman"/>
          <w:b/>
          <w:szCs w:val="20"/>
        </w:rPr>
        <w:t>8/20</w:t>
      </w:r>
    </w:p>
    <w:tbl>
      <w:tblPr>
        <w:tblW w:w="7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08"/>
        <w:gridCol w:w="862"/>
        <w:gridCol w:w="2758"/>
        <w:gridCol w:w="1044"/>
        <w:gridCol w:w="1133"/>
      </w:tblGrid>
      <w:tr w:rsidR="00924111" w:rsidRPr="001C2489" w:rsidTr="00601306">
        <w:trPr>
          <w:cantSplit/>
        </w:trPr>
        <w:tc>
          <w:tcPr>
            <w:tcW w:w="0" w:type="auto"/>
            <w:shd w:val="clear" w:color="auto" w:fill="5C9CCC"/>
            <w:tcMar>
              <w:top w:w="75" w:type="dxa"/>
              <w:left w:w="75" w:type="dxa"/>
              <w:bottom w:w="75" w:type="dxa"/>
              <w:right w:w="75" w:type="dxa"/>
            </w:tcMar>
            <w:vAlign w:val="center"/>
            <w:hideMark/>
          </w:tcPr>
          <w:p w:rsidR="00924111" w:rsidRPr="001C2489" w:rsidRDefault="00924111" w:rsidP="00601306">
            <w:pPr>
              <w:spacing w:after="0" w:line="240" w:lineRule="auto"/>
              <w:jc w:val="center"/>
              <w:rPr>
                <w:rFonts w:eastAsia="Times New Roman" w:cstheme="minorHAnsi"/>
                <w:bCs/>
                <w:szCs w:val="20"/>
              </w:rPr>
            </w:pPr>
            <w:r w:rsidRPr="001C2489">
              <w:rPr>
                <w:rFonts w:eastAsia="Times New Roman" w:cstheme="minorHAnsi"/>
                <w:bCs/>
                <w:szCs w:val="20"/>
              </w:rPr>
              <w:t>Ruolo</w:t>
            </w:r>
          </w:p>
        </w:tc>
        <w:tc>
          <w:tcPr>
            <w:tcW w:w="0" w:type="auto"/>
            <w:shd w:val="clear" w:color="auto" w:fill="5C9CCC"/>
            <w:tcMar>
              <w:top w:w="75" w:type="dxa"/>
              <w:left w:w="75" w:type="dxa"/>
              <w:bottom w:w="75" w:type="dxa"/>
              <w:right w:w="75" w:type="dxa"/>
            </w:tcMar>
            <w:vAlign w:val="center"/>
            <w:hideMark/>
          </w:tcPr>
          <w:p w:rsidR="00924111" w:rsidRPr="001C2489" w:rsidRDefault="00924111" w:rsidP="00924111">
            <w:pPr>
              <w:spacing w:after="0" w:line="240" w:lineRule="auto"/>
              <w:jc w:val="center"/>
              <w:rPr>
                <w:rFonts w:eastAsia="Times New Roman" w:cstheme="minorHAnsi"/>
                <w:bCs/>
                <w:szCs w:val="20"/>
              </w:rPr>
            </w:pPr>
            <w:r w:rsidRPr="001C2489">
              <w:rPr>
                <w:rFonts w:eastAsia="Times New Roman" w:cstheme="minorHAnsi"/>
                <w:bCs/>
                <w:szCs w:val="20"/>
              </w:rPr>
              <w:t xml:space="preserve"> Assunti </w:t>
            </w:r>
          </w:p>
        </w:tc>
        <w:tc>
          <w:tcPr>
            <w:tcW w:w="0" w:type="auto"/>
            <w:shd w:val="clear" w:color="auto" w:fill="5C9CCC"/>
            <w:tcMar>
              <w:top w:w="75" w:type="dxa"/>
              <w:left w:w="75" w:type="dxa"/>
              <w:bottom w:w="75" w:type="dxa"/>
              <w:right w:w="75" w:type="dxa"/>
            </w:tcMar>
            <w:vAlign w:val="center"/>
            <w:hideMark/>
          </w:tcPr>
          <w:p w:rsidR="00924111" w:rsidRPr="001C2489" w:rsidRDefault="00924111" w:rsidP="00924111">
            <w:pPr>
              <w:spacing w:after="0" w:line="240" w:lineRule="auto"/>
              <w:jc w:val="center"/>
              <w:rPr>
                <w:rFonts w:eastAsia="Times New Roman" w:cstheme="minorHAnsi"/>
                <w:bCs/>
                <w:szCs w:val="20"/>
              </w:rPr>
            </w:pPr>
            <w:r w:rsidRPr="001C2489">
              <w:rPr>
                <w:rFonts w:eastAsia="Times New Roman" w:cstheme="minorHAnsi"/>
                <w:bCs/>
                <w:szCs w:val="20"/>
              </w:rPr>
              <w:t>Di cui Assunti Esterni (</w:t>
            </w:r>
            <w:r>
              <w:rPr>
                <w:rFonts w:eastAsia="Times New Roman" w:cstheme="minorHAnsi"/>
                <w:bCs/>
                <w:szCs w:val="20"/>
              </w:rPr>
              <w:t>cioè nuove figure al netto del personale interno che ha fatto un avanzamento di categoria</w:t>
            </w:r>
            <w:r w:rsidRPr="001C2489">
              <w:rPr>
                <w:rFonts w:eastAsia="Times New Roman" w:cstheme="minorHAnsi"/>
                <w:bCs/>
                <w:szCs w:val="20"/>
              </w:rPr>
              <w:t>)</w:t>
            </w:r>
          </w:p>
        </w:tc>
        <w:tc>
          <w:tcPr>
            <w:tcW w:w="0" w:type="auto"/>
            <w:shd w:val="clear" w:color="auto" w:fill="5C9CCC"/>
            <w:tcMar>
              <w:top w:w="75" w:type="dxa"/>
              <w:left w:w="75" w:type="dxa"/>
              <w:bottom w:w="75" w:type="dxa"/>
              <w:right w:w="75" w:type="dxa"/>
            </w:tcMar>
            <w:vAlign w:val="center"/>
            <w:hideMark/>
          </w:tcPr>
          <w:p w:rsidR="00924111" w:rsidRPr="001C2489" w:rsidRDefault="00924111" w:rsidP="00601306">
            <w:pPr>
              <w:spacing w:after="0" w:line="240" w:lineRule="auto"/>
              <w:jc w:val="center"/>
              <w:rPr>
                <w:rFonts w:eastAsia="Times New Roman" w:cstheme="minorHAnsi"/>
                <w:bCs/>
                <w:szCs w:val="20"/>
              </w:rPr>
            </w:pPr>
            <w:r w:rsidRPr="001C2489">
              <w:rPr>
                <w:rFonts w:eastAsia="Times New Roman" w:cstheme="minorHAnsi"/>
                <w:bCs/>
                <w:szCs w:val="20"/>
              </w:rPr>
              <w:t>Punti Organico</w:t>
            </w:r>
          </w:p>
          <w:p w:rsidR="00924111" w:rsidRPr="001C2489" w:rsidRDefault="00924111" w:rsidP="00924111">
            <w:pPr>
              <w:spacing w:after="0" w:line="240" w:lineRule="auto"/>
              <w:jc w:val="center"/>
              <w:rPr>
                <w:rFonts w:eastAsia="Times New Roman" w:cstheme="minorHAnsi"/>
                <w:bCs/>
                <w:szCs w:val="20"/>
              </w:rPr>
            </w:pPr>
            <w:r w:rsidRPr="001C2489">
              <w:rPr>
                <w:rFonts w:eastAsia="Times New Roman" w:cstheme="minorHAnsi"/>
                <w:bCs/>
                <w:szCs w:val="20"/>
              </w:rPr>
              <w:t xml:space="preserve">Assunti </w:t>
            </w:r>
          </w:p>
        </w:tc>
        <w:tc>
          <w:tcPr>
            <w:tcW w:w="0" w:type="auto"/>
            <w:shd w:val="clear" w:color="auto" w:fill="5C9CCC"/>
            <w:tcMar>
              <w:top w:w="75" w:type="dxa"/>
              <w:left w:w="75" w:type="dxa"/>
              <w:bottom w:w="75" w:type="dxa"/>
              <w:right w:w="75" w:type="dxa"/>
            </w:tcMar>
            <w:vAlign w:val="center"/>
            <w:hideMark/>
          </w:tcPr>
          <w:p w:rsidR="00924111" w:rsidRPr="001C2489" w:rsidRDefault="00924111" w:rsidP="00601306">
            <w:pPr>
              <w:spacing w:after="0" w:line="240" w:lineRule="auto"/>
              <w:jc w:val="center"/>
              <w:rPr>
                <w:rFonts w:eastAsia="Times New Roman" w:cstheme="minorHAnsi"/>
                <w:bCs/>
                <w:szCs w:val="20"/>
              </w:rPr>
            </w:pPr>
            <w:r w:rsidRPr="001C2489">
              <w:rPr>
                <w:rFonts w:eastAsia="Times New Roman" w:cstheme="minorHAnsi"/>
                <w:bCs/>
                <w:szCs w:val="20"/>
              </w:rPr>
              <w:t>Di cui Punti Organico</w:t>
            </w:r>
          </w:p>
          <w:p w:rsidR="00924111" w:rsidRPr="001C2489" w:rsidRDefault="00924111" w:rsidP="00924111">
            <w:pPr>
              <w:spacing w:after="0" w:line="240" w:lineRule="auto"/>
              <w:jc w:val="center"/>
              <w:rPr>
                <w:rFonts w:eastAsia="Times New Roman" w:cstheme="minorHAnsi"/>
                <w:bCs/>
                <w:szCs w:val="20"/>
              </w:rPr>
            </w:pPr>
            <w:r w:rsidRPr="001C2489">
              <w:rPr>
                <w:rFonts w:eastAsia="Times New Roman" w:cstheme="minorHAnsi"/>
                <w:bCs/>
                <w:szCs w:val="20"/>
              </w:rPr>
              <w:t xml:space="preserve">Assunti Esterni </w:t>
            </w:r>
          </w:p>
        </w:tc>
      </w:tr>
      <w:tr w:rsidR="00924111" w:rsidRPr="001C2489" w:rsidTr="00601306">
        <w:trPr>
          <w:cantSplit/>
        </w:trPr>
        <w:tc>
          <w:tcPr>
            <w:tcW w:w="0" w:type="auto"/>
            <w:tcMar>
              <w:top w:w="75" w:type="dxa"/>
              <w:left w:w="75" w:type="dxa"/>
              <w:bottom w:w="75" w:type="dxa"/>
              <w:right w:w="75" w:type="dxa"/>
            </w:tcMar>
            <w:vAlign w:val="center"/>
            <w:hideMark/>
          </w:tcPr>
          <w:p w:rsidR="00924111" w:rsidRPr="001C2489" w:rsidRDefault="00924111" w:rsidP="00601306">
            <w:pPr>
              <w:spacing w:after="0" w:line="240" w:lineRule="auto"/>
              <w:rPr>
                <w:rFonts w:eastAsia="Times New Roman" w:cstheme="minorHAnsi"/>
                <w:bCs/>
                <w:szCs w:val="20"/>
              </w:rPr>
            </w:pPr>
            <w:r w:rsidRPr="001C2489">
              <w:rPr>
                <w:rFonts w:eastAsia="Times New Roman" w:cstheme="minorHAnsi"/>
                <w:bCs/>
                <w:szCs w:val="20"/>
              </w:rPr>
              <w:t>Docenti</w:t>
            </w:r>
          </w:p>
        </w:tc>
        <w:tc>
          <w:tcPr>
            <w:tcW w:w="0" w:type="auto"/>
            <w:tcMar>
              <w:top w:w="75" w:type="dxa"/>
              <w:left w:w="75" w:type="dxa"/>
              <w:bottom w:w="75" w:type="dxa"/>
              <w:right w:w="75" w:type="dxa"/>
            </w:tcMar>
            <w:vAlign w:val="center"/>
            <w:hideMark/>
          </w:tcPr>
          <w:p w:rsidR="00924111" w:rsidRPr="001C2489" w:rsidRDefault="00483376" w:rsidP="00601306">
            <w:pPr>
              <w:spacing w:after="0" w:line="240" w:lineRule="auto"/>
              <w:jc w:val="center"/>
              <w:rPr>
                <w:rFonts w:eastAsia="Times New Roman" w:cstheme="minorHAnsi"/>
                <w:szCs w:val="20"/>
              </w:rPr>
            </w:pPr>
            <w:hyperlink r:id="rId9" w:tgtFrame="_blank" w:history="1">
              <w:r w:rsidR="00924111" w:rsidRPr="001C2489">
                <w:rPr>
                  <w:rFonts w:eastAsia="Times New Roman" w:cstheme="minorHAnsi"/>
                  <w:szCs w:val="20"/>
                </w:rPr>
                <w:t>582</w:t>
              </w:r>
            </w:hyperlink>
          </w:p>
        </w:tc>
        <w:tc>
          <w:tcPr>
            <w:tcW w:w="0" w:type="auto"/>
            <w:tcMar>
              <w:top w:w="75" w:type="dxa"/>
              <w:left w:w="75" w:type="dxa"/>
              <w:bottom w:w="75" w:type="dxa"/>
              <w:right w:w="75" w:type="dxa"/>
            </w:tcMar>
            <w:vAlign w:val="center"/>
            <w:hideMark/>
          </w:tcPr>
          <w:p w:rsidR="00924111" w:rsidRPr="001C2489" w:rsidRDefault="00483376" w:rsidP="00601306">
            <w:pPr>
              <w:spacing w:after="0" w:line="240" w:lineRule="auto"/>
              <w:jc w:val="center"/>
              <w:rPr>
                <w:rFonts w:eastAsia="Times New Roman" w:cstheme="minorHAnsi"/>
                <w:szCs w:val="20"/>
              </w:rPr>
            </w:pPr>
            <w:hyperlink r:id="rId10" w:tgtFrame="_blank" w:history="1">
              <w:r w:rsidR="00924111" w:rsidRPr="001C2489">
                <w:rPr>
                  <w:rFonts w:eastAsia="Times New Roman" w:cstheme="minorHAnsi"/>
                  <w:szCs w:val="20"/>
                </w:rPr>
                <w:t>92</w:t>
              </w:r>
            </w:hyperlink>
          </w:p>
        </w:tc>
        <w:tc>
          <w:tcPr>
            <w:tcW w:w="0" w:type="auto"/>
            <w:tcMar>
              <w:top w:w="75" w:type="dxa"/>
              <w:left w:w="75" w:type="dxa"/>
              <w:bottom w:w="75" w:type="dxa"/>
              <w:right w:w="75" w:type="dxa"/>
            </w:tcMar>
            <w:vAlign w:val="center"/>
            <w:hideMark/>
          </w:tcPr>
          <w:p w:rsidR="00924111" w:rsidRPr="001C2489" w:rsidRDefault="00483376" w:rsidP="00601306">
            <w:pPr>
              <w:spacing w:after="0" w:line="240" w:lineRule="auto"/>
              <w:jc w:val="center"/>
              <w:rPr>
                <w:rFonts w:eastAsia="Times New Roman" w:cstheme="minorHAnsi"/>
                <w:szCs w:val="20"/>
              </w:rPr>
            </w:pPr>
            <w:hyperlink r:id="rId11" w:tgtFrame="_blank" w:history="1">
              <w:r w:rsidR="00924111" w:rsidRPr="001C2489">
                <w:rPr>
                  <w:rFonts w:eastAsia="Times New Roman" w:cstheme="minorHAnsi"/>
                  <w:szCs w:val="20"/>
                </w:rPr>
                <w:t>181,45</w:t>
              </w:r>
            </w:hyperlink>
          </w:p>
        </w:tc>
        <w:tc>
          <w:tcPr>
            <w:tcW w:w="0" w:type="auto"/>
            <w:tcMar>
              <w:top w:w="75" w:type="dxa"/>
              <w:left w:w="75" w:type="dxa"/>
              <w:bottom w:w="75" w:type="dxa"/>
              <w:right w:w="75" w:type="dxa"/>
            </w:tcMar>
            <w:vAlign w:val="center"/>
            <w:hideMark/>
          </w:tcPr>
          <w:p w:rsidR="00924111" w:rsidRPr="001C2489" w:rsidRDefault="00483376" w:rsidP="00601306">
            <w:pPr>
              <w:spacing w:after="0" w:line="240" w:lineRule="auto"/>
              <w:jc w:val="center"/>
              <w:rPr>
                <w:rFonts w:eastAsia="Times New Roman" w:cstheme="minorHAnsi"/>
                <w:szCs w:val="20"/>
              </w:rPr>
            </w:pPr>
            <w:hyperlink r:id="rId12" w:tgtFrame="_blank" w:history="1">
              <w:r w:rsidR="00924111" w:rsidRPr="001C2489">
                <w:rPr>
                  <w:rFonts w:eastAsia="Times New Roman" w:cstheme="minorHAnsi"/>
                  <w:szCs w:val="20"/>
                </w:rPr>
                <w:t>60,70</w:t>
              </w:r>
            </w:hyperlink>
          </w:p>
        </w:tc>
      </w:tr>
      <w:tr w:rsidR="00924111" w:rsidRPr="001C2489" w:rsidTr="00601306">
        <w:trPr>
          <w:cantSplit/>
        </w:trPr>
        <w:tc>
          <w:tcPr>
            <w:tcW w:w="0" w:type="auto"/>
            <w:tcMar>
              <w:top w:w="75" w:type="dxa"/>
              <w:left w:w="75" w:type="dxa"/>
              <w:bottom w:w="75" w:type="dxa"/>
              <w:right w:w="75" w:type="dxa"/>
            </w:tcMar>
            <w:vAlign w:val="center"/>
            <w:hideMark/>
          </w:tcPr>
          <w:p w:rsidR="00924111" w:rsidRPr="001C2489" w:rsidRDefault="00924111" w:rsidP="00601306">
            <w:pPr>
              <w:spacing w:after="0" w:line="240" w:lineRule="auto"/>
              <w:rPr>
                <w:rFonts w:eastAsia="Times New Roman" w:cstheme="minorHAnsi"/>
                <w:bCs/>
                <w:szCs w:val="20"/>
              </w:rPr>
            </w:pPr>
            <w:r w:rsidRPr="001C2489">
              <w:rPr>
                <w:rFonts w:eastAsia="Times New Roman" w:cstheme="minorHAnsi"/>
                <w:bCs/>
                <w:szCs w:val="20"/>
              </w:rPr>
              <w:t>Ricercatori</w:t>
            </w:r>
          </w:p>
        </w:tc>
        <w:tc>
          <w:tcPr>
            <w:tcW w:w="0" w:type="auto"/>
            <w:tcMar>
              <w:top w:w="75" w:type="dxa"/>
              <w:left w:w="75" w:type="dxa"/>
              <w:bottom w:w="75" w:type="dxa"/>
              <w:right w:w="75" w:type="dxa"/>
            </w:tcMar>
            <w:vAlign w:val="center"/>
            <w:hideMark/>
          </w:tcPr>
          <w:p w:rsidR="00924111" w:rsidRPr="001C2489" w:rsidRDefault="00483376" w:rsidP="00601306">
            <w:pPr>
              <w:spacing w:after="0" w:line="240" w:lineRule="auto"/>
              <w:jc w:val="center"/>
              <w:rPr>
                <w:rFonts w:eastAsia="Times New Roman" w:cstheme="minorHAnsi"/>
                <w:szCs w:val="20"/>
              </w:rPr>
            </w:pPr>
            <w:hyperlink r:id="rId13" w:tgtFrame="_blank" w:history="1">
              <w:r w:rsidR="00924111" w:rsidRPr="001C2489">
                <w:rPr>
                  <w:rFonts w:eastAsia="Times New Roman" w:cstheme="minorHAnsi"/>
                  <w:szCs w:val="20"/>
                </w:rPr>
                <w:t>2</w:t>
              </w:r>
            </w:hyperlink>
          </w:p>
        </w:tc>
        <w:tc>
          <w:tcPr>
            <w:tcW w:w="0" w:type="auto"/>
            <w:tcMar>
              <w:top w:w="75" w:type="dxa"/>
              <w:left w:w="75" w:type="dxa"/>
              <w:bottom w:w="75" w:type="dxa"/>
              <w:right w:w="75" w:type="dxa"/>
            </w:tcMar>
            <w:vAlign w:val="center"/>
            <w:hideMark/>
          </w:tcPr>
          <w:p w:rsidR="00924111" w:rsidRPr="001C2489" w:rsidRDefault="00483376" w:rsidP="00601306">
            <w:pPr>
              <w:spacing w:after="0" w:line="240" w:lineRule="auto"/>
              <w:jc w:val="center"/>
              <w:rPr>
                <w:rFonts w:eastAsia="Times New Roman" w:cstheme="minorHAnsi"/>
                <w:szCs w:val="20"/>
              </w:rPr>
            </w:pPr>
            <w:hyperlink r:id="rId14" w:tgtFrame="_blank" w:history="1">
              <w:r w:rsidR="00924111" w:rsidRPr="001C2489">
                <w:rPr>
                  <w:rFonts w:eastAsia="Times New Roman" w:cstheme="minorHAnsi"/>
                  <w:szCs w:val="20"/>
                </w:rPr>
                <w:t>2</w:t>
              </w:r>
            </w:hyperlink>
          </w:p>
        </w:tc>
        <w:tc>
          <w:tcPr>
            <w:tcW w:w="0" w:type="auto"/>
            <w:tcMar>
              <w:top w:w="75" w:type="dxa"/>
              <w:left w:w="75" w:type="dxa"/>
              <w:bottom w:w="75" w:type="dxa"/>
              <w:right w:w="75" w:type="dxa"/>
            </w:tcMar>
            <w:vAlign w:val="center"/>
            <w:hideMark/>
          </w:tcPr>
          <w:p w:rsidR="00924111" w:rsidRPr="001C2489" w:rsidRDefault="00483376" w:rsidP="00601306">
            <w:pPr>
              <w:spacing w:after="0" w:line="240" w:lineRule="auto"/>
              <w:jc w:val="center"/>
              <w:rPr>
                <w:rFonts w:eastAsia="Times New Roman" w:cstheme="minorHAnsi"/>
                <w:szCs w:val="20"/>
              </w:rPr>
            </w:pPr>
            <w:hyperlink r:id="rId15" w:tgtFrame="_blank" w:history="1">
              <w:r w:rsidR="00924111" w:rsidRPr="001C2489">
                <w:rPr>
                  <w:rFonts w:eastAsia="Times New Roman" w:cstheme="minorHAnsi"/>
                  <w:szCs w:val="20"/>
                </w:rPr>
                <w:t>0,50</w:t>
              </w:r>
            </w:hyperlink>
          </w:p>
        </w:tc>
        <w:tc>
          <w:tcPr>
            <w:tcW w:w="0" w:type="auto"/>
            <w:tcMar>
              <w:top w:w="75" w:type="dxa"/>
              <w:left w:w="75" w:type="dxa"/>
              <w:bottom w:w="75" w:type="dxa"/>
              <w:right w:w="75" w:type="dxa"/>
            </w:tcMar>
            <w:vAlign w:val="center"/>
            <w:hideMark/>
          </w:tcPr>
          <w:p w:rsidR="00924111" w:rsidRPr="001C2489" w:rsidRDefault="00483376" w:rsidP="00601306">
            <w:pPr>
              <w:spacing w:after="0" w:line="240" w:lineRule="auto"/>
              <w:jc w:val="center"/>
              <w:rPr>
                <w:rFonts w:eastAsia="Times New Roman" w:cstheme="minorHAnsi"/>
                <w:szCs w:val="20"/>
              </w:rPr>
            </w:pPr>
            <w:hyperlink r:id="rId16" w:tgtFrame="_blank" w:history="1">
              <w:r w:rsidR="00924111" w:rsidRPr="001C2489">
                <w:rPr>
                  <w:rFonts w:eastAsia="Times New Roman" w:cstheme="minorHAnsi"/>
                  <w:szCs w:val="20"/>
                </w:rPr>
                <w:t>0,50</w:t>
              </w:r>
            </w:hyperlink>
          </w:p>
        </w:tc>
      </w:tr>
      <w:tr w:rsidR="00924111" w:rsidRPr="001C2489" w:rsidTr="00601306">
        <w:trPr>
          <w:cantSplit/>
        </w:trPr>
        <w:tc>
          <w:tcPr>
            <w:tcW w:w="0" w:type="auto"/>
            <w:tcMar>
              <w:top w:w="75" w:type="dxa"/>
              <w:left w:w="75" w:type="dxa"/>
              <w:bottom w:w="75" w:type="dxa"/>
              <w:right w:w="75" w:type="dxa"/>
            </w:tcMar>
            <w:vAlign w:val="center"/>
            <w:hideMark/>
          </w:tcPr>
          <w:p w:rsidR="00924111" w:rsidRPr="001C2489" w:rsidRDefault="00924111" w:rsidP="00601306">
            <w:pPr>
              <w:spacing w:after="0" w:line="240" w:lineRule="auto"/>
              <w:rPr>
                <w:rFonts w:eastAsia="Times New Roman" w:cstheme="minorHAnsi"/>
                <w:bCs/>
                <w:szCs w:val="20"/>
              </w:rPr>
            </w:pPr>
            <w:r w:rsidRPr="001C2489">
              <w:rPr>
                <w:rFonts w:eastAsia="Times New Roman" w:cstheme="minorHAnsi"/>
                <w:bCs/>
                <w:szCs w:val="20"/>
              </w:rPr>
              <w:t>Tecnici-Amministrativi</w:t>
            </w:r>
          </w:p>
        </w:tc>
        <w:tc>
          <w:tcPr>
            <w:tcW w:w="0" w:type="auto"/>
            <w:tcMar>
              <w:top w:w="75" w:type="dxa"/>
              <w:left w:w="75" w:type="dxa"/>
              <w:bottom w:w="75" w:type="dxa"/>
              <w:right w:w="75" w:type="dxa"/>
            </w:tcMar>
            <w:vAlign w:val="center"/>
            <w:hideMark/>
          </w:tcPr>
          <w:p w:rsidR="00924111" w:rsidRPr="001C2489" w:rsidRDefault="00483376" w:rsidP="00601306">
            <w:pPr>
              <w:spacing w:after="0" w:line="240" w:lineRule="auto"/>
              <w:jc w:val="center"/>
              <w:rPr>
                <w:rFonts w:eastAsia="Times New Roman" w:cstheme="minorHAnsi"/>
                <w:szCs w:val="20"/>
              </w:rPr>
            </w:pPr>
            <w:hyperlink r:id="rId17" w:tgtFrame="_blank" w:history="1">
              <w:r w:rsidR="00924111" w:rsidRPr="001C2489">
                <w:rPr>
                  <w:rFonts w:eastAsia="Times New Roman" w:cstheme="minorHAnsi"/>
                  <w:szCs w:val="20"/>
                </w:rPr>
                <w:t>378</w:t>
              </w:r>
            </w:hyperlink>
          </w:p>
        </w:tc>
        <w:tc>
          <w:tcPr>
            <w:tcW w:w="0" w:type="auto"/>
            <w:tcMar>
              <w:top w:w="75" w:type="dxa"/>
              <w:left w:w="75" w:type="dxa"/>
              <w:bottom w:w="75" w:type="dxa"/>
              <w:right w:w="75" w:type="dxa"/>
            </w:tcMar>
            <w:vAlign w:val="center"/>
            <w:hideMark/>
          </w:tcPr>
          <w:p w:rsidR="00924111" w:rsidRPr="001C2489" w:rsidRDefault="00483376" w:rsidP="00601306">
            <w:pPr>
              <w:spacing w:after="0" w:line="240" w:lineRule="auto"/>
              <w:jc w:val="center"/>
              <w:rPr>
                <w:rFonts w:eastAsia="Times New Roman" w:cstheme="minorHAnsi"/>
                <w:szCs w:val="20"/>
              </w:rPr>
            </w:pPr>
            <w:hyperlink r:id="rId18" w:tgtFrame="_blank" w:history="1">
              <w:r w:rsidR="00924111" w:rsidRPr="001C2489">
                <w:rPr>
                  <w:rFonts w:eastAsia="Times New Roman" w:cstheme="minorHAnsi"/>
                  <w:szCs w:val="20"/>
                </w:rPr>
                <w:t>216</w:t>
              </w:r>
            </w:hyperlink>
          </w:p>
        </w:tc>
        <w:tc>
          <w:tcPr>
            <w:tcW w:w="0" w:type="auto"/>
            <w:tcMar>
              <w:top w:w="75" w:type="dxa"/>
              <w:left w:w="75" w:type="dxa"/>
              <w:bottom w:w="75" w:type="dxa"/>
              <w:right w:w="75" w:type="dxa"/>
            </w:tcMar>
            <w:vAlign w:val="center"/>
            <w:hideMark/>
          </w:tcPr>
          <w:p w:rsidR="00924111" w:rsidRPr="001C2489" w:rsidRDefault="00483376" w:rsidP="00601306">
            <w:pPr>
              <w:spacing w:after="0" w:line="240" w:lineRule="auto"/>
              <w:jc w:val="center"/>
              <w:rPr>
                <w:rFonts w:eastAsia="Times New Roman" w:cstheme="minorHAnsi"/>
                <w:szCs w:val="20"/>
              </w:rPr>
            </w:pPr>
            <w:hyperlink r:id="rId19" w:tgtFrame="_blank" w:history="1">
              <w:r w:rsidR="00924111" w:rsidRPr="001C2489">
                <w:rPr>
                  <w:rFonts w:eastAsia="Times New Roman" w:cstheme="minorHAnsi"/>
                  <w:szCs w:val="20"/>
                </w:rPr>
                <w:t>90,10</w:t>
              </w:r>
            </w:hyperlink>
          </w:p>
        </w:tc>
        <w:tc>
          <w:tcPr>
            <w:tcW w:w="0" w:type="auto"/>
            <w:tcMar>
              <w:top w:w="75" w:type="dxa"/>
              <w:left w:w="75" w:type="dxa"/>
              <w:bottom w:w="75" w:type="dxa"/>
              <w:right w:w="75" w:type="dxa"/>
            </w:tcMar>
            <w:vAlign w:val="center"/>
            <w:hideMark/>
          </w:tcPr>
          <w:p w:rsidR="00924111" w:rsidRPr="001C2489" w:rsidRDefault="00483376" w:rsidP="00601306">
            <w:pPr>
              <w:spacing w:after="0" w:line="240" w:lineRule="auto"/>
              <w:jc w:val="center"/>
              <w:rPr>
                <w:rFonts w:eastAsia="Times New Roman" w:cstheme="minorHAnsi"/>
                <w:szCs w:val="20"/>
              </w:rPr>
            </w:pPr>
            <w:hyperlink r:id="rId20" w:tgtFrame="_blank" w:history="1">
              <w:r w:rsidR="00924111" w:rsidRPr="001C2489">
                <w:rPr>
                  <w:rFonts w:eastAsia="Times New Roman" w:cstheme="minorHAnsi"/>
                  <w:szCs w:val="20"/>
                </w:rPr>
                <w:t>57,45</w:t>
              </w:r>
            </w:hyperlink>
          </w:p>
        </w:tc>
      </w:tr>
      <w:tr w:rsidR="00924111" w:rsidRPr="001C2489" w:rsidTr="00601306">
        <w:trPr>
          <w:cantSplit/>
        </w:trPr>
        <w:tc>
          <w:tcPr>
            <w:tcW w:w="0" w:type="auto"/>
            <w:tcMar>
              <w:top w:w="75" w:type="dxa"/>
              <w:left w:w="75" w:type="dxa"/>
              <w:bottom w:w="75" w:type="dxa"/>
              <w:right w:w="75" w:type="dxa"/>
            </w:tcMar>
            <w:vAlign w:val="center"/>
            <w:hideMark/>
          </w:tcPr>
          <w:p w:rsidR="00924111" w:rsidRPr="001C2489" w:rsidRDefault="00924111" w:rsidP="00601306">
            <w:pPr>
              <w:spacing w:after="0" w:line="240" w:lineRule="auto"/>
              <w:rPr>
                <w:rFonts w:eastAsia="Times New Roman" w:cstheme="minorHAnsi"/>
                <w:bCs/>
                <w:szCs w:val="20"/>
              </w:rPr>
            </w:pPr>
            <w:r w:rsidRPr="001C2489">
              <w:rPr>
                <w:rFonts w:eastAsia="Times New Roman" w:cstheme="minorHAnsi"/>
                <w:bCs/>
                <w:szCs w:val="20"/>
              </w:rPr>
              <w:t>Totale</w:t>
            </w:r>
          </w:p>
        </w:tc>
        <w:tc>
          <w:tcPr>
            <w:tcW w:w="0" w:type="auto"/>
            <w:tcMar>
              <w:top w:w="75" w:type="dxa"/>
              <w:left w:w="75" w:type="dxa"/>
              <w:bottom w:w="75" w:type="dxa"/>
              <w:right w:w="75" w:type="dxa"/>
            </w:tcMar>
            <w:vAlign w:val="center"/>
            <w:hideMark/>
          </w:tcPr>
          <w:p w:rsidR="00924111" w:rsidRPr="001C2489" w:rsidRDefault="00924111" w:rsidP="00601306">
            <w:pPr>
              <w:spacing w:after="0" w:line="240" w:lineRule="auto"/>
              <w:jc w:val="center"/>
              <w:rPr>
                <w:rFonts w:eastAsia="Times New Roman" w:cstheme="minorHAnsi"/>
                <w:bCs/>
                <w:szCs w:val="20"/>
              </w:rPr>
            </w:pPr>
            <w:r w:rsidRPr="001C2489">
              <w:rPr>
                <w:rFonts w:eastAsia="Times New Roman" w:cstheme="minorHAnsi"/>
                <w:bCs/>
                <w:szCs w:val="20"/>
              </w:rPr>
              <w:t>962</w:t>
            </w:r>
          </w:p>
        </w:tc>
        <w:tc>
          <w:tcPr>
            <w:tcW w:w="0" w:type="auto"/>
            <w:tcMar>
              <w:top w:w="75" w:type="dxa"/>
              <w:left w:w="75" w:type="dxa"/>
              <w:bottom w:w="75" w:type="dxa"/>
              <w:right w:w="75" w:type="dxa"/>
            </w:tcMar>
            <w:vAlign w:val="center"/>
            <w:hideMark/>
          </w:tcPr>
          <w:p w:rsidR="00924111" w:rsidRPr="001C2489" w:rsidRDefault="00924111" w:rsidP="00601306">
            <w:pPr>
              <w:spacing w:after="0" w:line="240" w:lineRule="auto"/>
              <w:jc w:val="center"/>
              <w:rPr>
                <w:rFonts w:eastAsia="Times New Roman" w:cstheme="minorHAnsi"/>
                <w:bCs/>
                <w:szCs w:val="20"/>
              </w:rPr>
            </w:pPr>
            <w:r w:rsidRPr="001C2489">
              <w:rPr>
                <w:rFonts w:eastAsia="Times New Roman" w:cstheme="minorHAnsi"/>
                <w:bCs/>
                <w:szCs w:val="20"/>
              </w:rPr>
              <w:t>310</w:t>
            </w:r>
          </w:p>
        </w:tc>
        <w:tc>
          <w:tcPr>
            <w:tcW w:w="0" w:type="auto"/>
            <w:tcMar>
              <w:top w:w="75" w:type="dxa"/>
              <w:left w:w="75" w:type="dxa"/>
              <w:bottom w:w="75" w:type="dxa"/>
              <w:right w:w="75" w:type="dxa"/>
            </w:tcMar>
            <w:vAlign w:val="center"/>
            <w:hideMark/>
          </w:tcPr>
          <w:p w:rsidR="00924111" w:rsidRPr="001C2489" w:rsidRDefault="00924111" w:rsidP="00601306">
            <w:pPr>
              <w:spacing w:after="0" w:line="240" w:lineRule="auto"/>
              <w:jc w:val="center"/>
              <w:rPr>
                <w:rFonts w:eastAsia="Times New Roman" w:cstheme="minorHAnsi"/>
                <w:bCs/>
                <w:szCs w:val="20"/>
              </w:rPr>
            </w:pPr>
            <w:r w:rsidRPr="001C2489">
              <w:rPr>
                <w:rFonts w:eastAsia="Times New Roman" w:cstheme="minorHAnsi"/>
                <w:bCs/>
                <w:szCs w:val="20"/>
              </w:rPr>
              <w:t>272,05</w:t>
            </w:r>
          </w:p>
        </w:tc>
        <w:tc>
          <w:tcPr>
            <w:tcW w:w="0" w:type="auto"/>
            <w:tcMar>
              <w:top w:w="75" w:type="dxa"/>
              <w:left w:w="75" w:type="dxa"/>
              <w:bottom w:w="75" w:type="dxa"/>
              <w:right w:w="75" w:type="dxa"/>
            </w:tcMar>
            <w:vAlign w:val="center"/>
            <w:hideMark/>
          </w:tcPr>
          <w:p w:rsidR="00924111" w:rsidRPr="001C2489" w:rsidRDefault="00924111" w:rsidP="00601306">
            <w:pPr>
              <w:spacing w:after="0" w:line="240" w:lineRule="auto"/>
              <w:jc w:val="center"/>
              <w:rPr>
                <w:rFonts w:eastAsia="Times New Roman" w:cstheme="minorHAnsi"/>
                <w:bCs/>
                <w:szCs w:val="20"/>
              </w:rPr>
            </w:pPr>
            <w:r w:rsidRPr="001C2489">
              <w:rPr>
                <w:rFonts w:eastAsia="Times New Roman" w:cstheme="minorHAnsi"/>
                <w:bCs/>
                <w:szCs w:val="20"/>
              </w:rPr>
              <w:t>118,65</w:t>
            </w:r>
          </w:p>
        </w:tc>
      </w:tr>
    </w:tbl>
    <w:p w:rsidR="008249BA" w:rsidRPr="009B6196" w:rsidRDefault="008249BA" w:rsidP="00C51244">
      <w:pPr>
        <w:rPr>
          <w:szCs w:val="20"/>
          <w:highlight w:val="yellow"/>
        </w:rPr>
      </w:pPr>
    </w:p>
    <w:p w:rsidR="00924111" w:rsidRPr="00E03E57" w:rsidRDefault="00924111" w:rsidP="00924111">
      <w:pPr>
        <w:rPr>
          <w:color w:val="auto"/>
          <w:szCs w:val="20"/>
        </w:rPr>
      </w:pPr>
      <w:r w:rsidRPr="00E03E57">
        <w:rPr>
          <w:color w:val="auto"/>
          <w:szCs w:val="20"/>
          <w:u w:val="single"/>
        </w:rPr>
        <w:t>Punti organico 2020</w:t>
      </w:r>
      <w:r w:rsidRPr="00E03E57">
        <w:rPr>
          <w:color w:val="auto"/>
          <w:szCs w:val="20"/>
        </w:rPr>
        <w:t xml:space="preserve"> = </w:t>
      </w:r>
      <w:r w:rsidR="005C6B49" w:rsidRPr="00E03E57">
        <w:rPr>
          <w:color w:val="auto"/>
          <w:szCs w:val="20"/>
        </w:rPr>
        <w:t>74,95</w:t>
      </w:r>
      <w:r w:rsidRPr="00E03E57">
        <w:rPr>
          <w:color w:val="auto"/>
          <w:szCs w:val="20"/>
        </w:rPr>
        <w:t xml:space="preserve"> punti per cessazioni anno precedente + </w:t>
      </w:r>
      <w:r w:rsidR="005C6B49" w:rsidRPr="00E03E57">
        <w:rPr>
          <w:color w:val="auto"/>
          <w:szCs w:val="20"/>
        </w:rPr>
        <w:t>11,15 punti per quota premiale + 15,29 punti</w:t>
      </w:r>
      <w:r w:rsidRPr="00E03E57">
        <w:rPr>
          <w:color w:val="auto"/>
          <w:szCs w:val="20"/>
        </w:rPr>
        <w:t xml:space="preserve"> per maggiori facoltà assunzionali </w:t>
      </w:r>
      <w:r w:rsidR="005C6B49" w:rsidRPr="00E03E57">
        <w:rPr>
          <w:color w:val="auto"/>
          <w:szCs w:val="20"/>
        </w:rPr>
        <w:t xml:space="preserve">(norma straordinaria 2019/20) </w:t>
      </w:r>
      <w:r w:rsidRPr="00E03E57">
        <w:rPr>
          <w:color w:val="auto"/>
          <w:szCs w:val="20"/>
        </w:rPr>
        <w:t xml:space="preserve">= </w:t>
      </w:r>
      <w:r w:rsidR="005C6B49" w:rsidRPr="00E03E57">
        <w:rPr>
          <w:color w:val="auto"/>
          <w:szCs w:val="20"/>
          <w:u w:val="single"/>
        </w:rPr>
        <w:t>101,39</w:t>
      </w:r>
      <w:r w:rsidRPr="00E03E57">
        <w:rPr>
          <w:color w:val="auto"/>
          <w:szCs w:val="20"/>
          <w:u w:val="single"/>
        </w:rPr>
        <w:t>.</w:t>
      </w:r>
      <w:r w:rsidRPr="00E03E57">
        <w:rPr>
          <w:color w:val="auto"/>
          <w:szCs w:val="20"/>
        </w:rPr>
        <w:t xml:space="preserve"> </w:t>
      </w:r>
    </w:p>
    <w:p w:rsidR="005C6B49" w:rsidRPr="00E03E57" w:rsidRDefault="005C6B49" w:rsidP="00924111">
      <w:pPr>
        <w:rPr>
          <w:color w:val="auto"/>
          <w:szCs w:val="20"/>
        </w:rPr>
      </w:pPr>
      <w:r w:rsidRPr="00E03E57">
        <w:rPr>
          <w:color w:val="auto"/>
          <w:szCs w:val="20"/>
        </w:rPr>
        <w:t>Nel 2019 furono 118,32: il calo pertanto è stato di ben 16,93 punti</w:t>
      </w:r>
      <w:r w:rsidR="007E5C93" w:rsidRPr="00E03E57">
        <w:rPr>
          <w:color w:val="auto"/>
          <w:szCs w:val="20"/>
        </w:rPr>
        <w:t xml:space="preserve"> (-14,3%)</w:t>
      </w:r>
      <w:r w:rsidRPr="00E03E57">
        <w:rPr>
          <w:color w:val="auto"/>
          <w:szCs w:val="20"/>
        </w:rPr>
        <w:t>.</w:t>
      </w:r>
    </w:p>
    <w:p w:rsidR="005C6B49" w:rsidRPr="007E5C93" w:rsidRDefault="005C6B49" w:rsidP="00924111">
      <w:pPr>
        <w:rPr>
          <w:color w:val="FF0000"/>
          <w:szCs w:val="20"/>
        </w:rPr>
      </w:pPr>
      <w:r w:rsidRPr="007E5C93">
        <w:rPr>
          <w:color w:val="FF0000"/>
          <w:szCs w:val="20"/>
        </w:rPr>
        <w:t xml:space="preserve">Nonostante questo, la percentuale di </w:t>
      </w:r>
      <w:r w:rsidRPr="007E5C93">
        <w:rPr>
          <w:i/>
          <w:color w:val="FF0000"/>
          <w:szCs w:val="20"/>
        </w:rPr>
        <w:t>turn over</w:t>
      </w:r>
      <w:r w:rsidRPr="007E5C93">
        <w:rPr>
          <w:color w:val="FF0000"/>
          <w:szCs w:val="20"/>
        </w:rPr>
        <w:t xml:space="preserve"> dell’Ateneo è stata pari al 115%: cioè, grazie ad una norma straordinaria valida solo per il 2019 e 2020, siamo riusciti ad assumere più persone di quante </w:t>
      </w:r>
      <w:r w:rsidR="007E5C93">
        <w:rPr>
          <w:color w:val="FF0000"/>
          <w:szCs w:val="20"/>
        </w:rPr>
        <w:t>siano</w:t>
      </w:r>
      <w:r w:rsidRPr="007E5C93">
        <w:rPr>
          <w:color w:val="FF0000"/>
          <w:szCs w:val="20"/>
        </w:rPr>
        <w:t xml:space="preserve"> andate in pensione.</w:t>
      </w:r>
    </w:p>
    <w:p w:rsidR="005C6B49" w:rsidRPr="00E03E57" w:rsidRDefault="0080725E" w:rsidP="00924111">
      <w:pPr>
        <w:rPr>
          <w:color w:val="auto"/>
          <w:szCs w:val="20"/>
        </w:rPr>
      </w:pPr>
      <w:r w:rsidRPr="00E03E57">
        <w:rPr>
          <w:color w:val="auto"/>
          <w:szCs w:val="20"/>
        </w:rPr>
        <w:t>Dei 101,39</w:t>
      </w:r>
      <w:r w:rsidR="005C6B49" w:rsidRPr="00E03E57">
        <w:rPr>
          <w:color w:val="auto"/>
          <w:szCs w:val="20"/>
        </w:rPr>
        <w:t xml:space="preserve"> punti organico, il</w:t>
      </w:r>
      <w:r w:rsidR="007E5C93" w:rsidRPr="00E03E57">
        <w:rPr>
          <w:color w:val="auto"/>
          <w:szCs w:val="20"/>
        </w:rPr>
        <w:t xml:space="preserve"> 75% è andato alla docenza (76,03</w:t>
      </w:r>
      <w:r w:rsidR="005C6B49" w:rsidRPr="00E03E57">
        <w:rPr>
          <w:color w:val="auto"/>
          <w:szCs w:val="20"/>
        </w:rPr>
        <w:t>) mentr</w:t>
      </w:r>
      <w:r w:rsidR="007E5C93" w:rsidRPr="00E03E57">
        <w:rPr>
          <w:color w:val="auto"/>
          <w:szCs w:val="20"/>
        </w:rPr>
        <w:t>e il 25% al personale</w:t>
      </w:r>
      <w:r w:rsidRPr="00E03E57">
        <w:rPr>
          <w:color w:val="auto"/>
          <w:szCs w:val="20"/>
        </w:rPr>
        <w:t xml:space="preserve"> tecnico, amministrativo e bibliotecario</w:t>
      </w:r>
      <w:r w:rsidR="007E5C93" w:rsidRPr="00E03E57">
        <w:rPr>
          <w:color w:val="auto"/>
          <w:szCs w:val="20"/>
        </w:rPr>
        <w:t xml:space="preserve"> </w:t>
      </w:r>
      <w:r w:rsidRPr="00E03E57">
        <w:rPr>
          <w:color w:val="auto"/>
          <w:szCs w:val="20"/>
        </w:rPr>
        <w:t>(</w:t>
      </w:r>
      <w:r w:rsidR="007E5C93" w:rsidRPr="00E03E57">
        <w:rPr>
          <w:color w:val="auto"/>
          <w:szCs w:val="20"/>
        </w:rPr>
        <w:t>T</w:t>
      </w:r>
      <w:r w:rsidRPr="00E03E57">
        <w:rPr>
          <w:color w:val="auto"/>
          <w:szCs w:val="20"/>
        </w:rPr>
        <w:t>AB)</w:t>
      </w:r>
      <w:r w:rsidR="007E5C93" w:rsidRPr="00E03E57">
        <w:rPr>
          <w:color w:val="auto"/>
          <w:szCs w:val="20"/>
        </w:rPr>
        <w:t xml:space="preserve"> (25,36</w:t>
      </w:r>
      <w:r w:rsidR="005C6B49" w:rsidRPr="00E03E57">
        <w:rPr>
          <w:color w:val="auto"/>
          <w:szCs w:val="20"/>
        </w:rPr>
        <w:t>).</w:t>
      </w:r>
    </w:p>
    <w:p w:rsidR="005C6B49" w:rsidRDefault="005C6B49" w:rsidP="00924111">
      <w:pPr>
        <w:rPr>
          <w:szCs w:val="20"/>
        </w:rPr>
      </w:pPr>
    </w:p>
    <w:p w:rsidR="00924111" w:rsidRDefault="00924111" w:rsidP="00924111">
      <w:pPr>
        <w:ind w:left="0" w:firstLine="0"/>
        <w:rPr>
          <w:szCs w:val="20"/>
        </w:rPr>
      </w:pPr>
      <w:r w:rsidRPr="00924111">
        <w:rPr>
          <w:szCs w:val="20"/>
        </w:rPr>
        <w:t xml:space="preserve">Piano straordinario ricercatori tipo B = </w:t>
      </w:r>
      <w:r w:rsidR="007E5C93">
        <w:rPr>
          <w:szCs w:val="20"/>
        </w:rPr>
        <w:t>182</w:t>
      </w:r>
      <w:r w:rsidRPr="00924111">
        <w:rPr>
          <w:szCs w:val="20"/>
        </w:rPr>
        <w:t xml:space="preserve"> posizioni.</w:t>
      </w:r>
    </w:p>
    <w:p w:rsidR="007E5C93" w:rsidRDefault="007E5C93" w:rsidP="00924111">
      <w:pPr>
        <w:ind w:left="0" w:firstLine="0"/>
        <w:rPr>
          <w:szCs w:val="20"/>
        </w:rPr>
      </w:pPr>
      <w:r>
        <w:rPr>
          <w:szCs w:val="20"/>
        </w:rPr>
        <w:t>Nel 2019 furono solo 57: l’incremento è pertanto di ben 125 posizioni.</w:t>
      </w:r>
    </w:p>
    <w:p w:rsidR="008249BA" w:rsidRPr="00525FB4" w:rsidRDefault="00525FB4" w:rsidP="008249BA">
      <w:pPr>
        <w:spacing w:before="240" w:after="120" w:line="240" w:lineRule="auto"/>
        <w:jc w:val="both"/>
        <w:rPr>
          <w:rFonts w:cstheme="minorHAnsi"/>
          <w:b/>
        </w:rPr>
      </w:pPr>
      <w:r w:rsidRPr="00525FB4">
        <w:rPr>
          <w:rFonts w:cstheme="minorHAnsi"/>
          <w:b/>
        </w:rPr>
        <w:t>B</w:t>
      </w:r>
      <w:r w:rsidR="00C42FAE" w:rsidRPr="00525FB4">
        <w:rPr>
          <w:rFonts w:cstheme="minorHAnsi"/>
          <w:b/>
        </w:rPr>
        <w:t xml:space="preserve">) </w:t>
      </w:r>
      <w:r w:rsidR="008249BA" w:rsidRPr="00525FB4">
        <w:rPr>
          <w:rFonts w:cstheme="minorHAnsi"/>
          <w:b/>
        </w:rPr>
        <w:t>Personale a tempo indeterminato</w:t>
      </w:r>
    </w:p>
    <w:tbl>
      <w:tblPr>
        <w:tblW w:w="9152" w:type="dxa"/>
        <w:tblCellMar>
          <w:left w:w="70" w:type="dxa"/>
          <w:right w:w="70" w:type="dxa"/>
        </w:tblCellMar>
        <w:tblLook w:val="04A0" w:firstRow="1" w:lastRow="0" w:firstColumn="1" w:lastColumn="0" w:noHBand="0" w:noVBand="1"/>
      </w:tblPr>
      <w:tblGrid>
        <w:gridCol w:w="1707"/>
        <w:gridCol w:w="1740"/>
        <w:gridCol w:w="729"/>
        <w:gridCol w:w="880"/>
        <w:gridCol w:w="729"/>
        <w:gridCol w:w="786"/>
        <w:gridCol w:w="729"/>
        <w:gridCol w:w="1123"/>
        <w:gridCol w:w="729"/>
      </w:tblGrid>
      <w:tr w:rsidR="00525FB4" w:rsidRPr="007A18DD" w:rsidTr="00525FB4">
        <w:trPr>
          <w:trHeight w:val="555"/>
        </w:trPr>
        <w:tc>
          <w:tcPr>
            <w:tcW w:w="170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25FB4" w:rsidRPr="007A18DD" w:rsidRDefault="00525FB4" w:rsidP="00601306">
            <w:pPr>
              <w:jc w:val="center"/>
              <w:rPr>
                <w:rFonts w:ascii="Calibri" w:eastAsia="Times New Roman" w:hAnsi="Calibri" w:cs="Calibri"/>
                <w:b/>
                <w:bCs/>
                <w:sz w:val="18"/>
                <w:szCs w:val="18"/>
              </w:rPr>
            </w:pPr>
            <w:r w:rsidRPr="007A18DD">
              <w:rPr>
                <w:rFonts w:ascii="Calibri" w:eastAsia="Times New Roman" w:hAnsi="Calibri" w:cs="Calibri"/>
                <w:b/>
                <w:bCs/>
                <w:sz w:val="18"/>
                <w:szCs w:val="18"/>
              </w:rPr>
              <w:t>Anno</w:t>
            </w:r>
          </w:p>
        </w:tc>
        <w:tc>
          <w:tcPr>
            <w:tcW w:w="1740" w:type="dxa"/>
            <w:tcBorders>
              <w:top w:val="single" w:sz="8" w:space="0" w:color="auto"/>
              <w:left w:val="nil"/>
              <w:bottom w:val="single" w:sz="8" w:space="0" w:color="auto"/>
              <w:right w:val="single" w:sz="8" w:space="0" w:color="auto"/>
            </w:tcBorders>
            <w:shd w:val="clear" w:color="auto" w:fill="auto"/>
            <w:vAlign w:val="center"/>
            <w:hideMark/>
          </w:tcPr>
          <w:p w:rsidR="00525FB4" w:rsidRPr="007A18DD" w:rsidRDefault="00525FB4" w:rsidP="00601306">
            <w:pPr>
              <w:spacing w:after="0" w:line="240" w:lineRule="auto"/>
              <w:jc w:val="center"/>
              <w:rPr>
                <w:rFonts w:ascii="Calibri" w:eastAsia="Times New Roman" w:hAnsi="Calibri" w:cs="Calibri"/>
                <w:b/>
                <w:bCs/>
                <w:sz w:val="18"/>
                <w:szCs w:val="18"/>
              </w:rPr>
            </w:pPr>
            <w:r w:rsidRPr="007A18DD">
              <w:rPr>
                <w:rFonts w:ascii="Calibri" w:eastAsia="Times New Roman" w:hAnsi="Calibri" w:cs="Calibri"/>
                <w:b/>
                <w:bCs/>
                <w:sz w:val="18"/>
                <w:szCs w:val="18"/>
              </w:rPr>
              <w:t>Professori/ricercatori</w:t>
            </w:r>
          </w:p>
        </w:tc>
        <w:tc>
          <w:tcPr>
            <w:tcW w:w="729" w:type="dxa"/>
            <w:tcBorders>
              <w:top w:val="single" w:sz="8" w:space="0" w:color="auto"/>
              <w:left w:val="nil"/>
              <w:bottom w:val="single" w:sz="8" w:space="0" w:color="auto"/>
              <w:right w:val="single" w:sz="8" w:space="0" w:color="auto"/>
            </w:tcBorders>
            <w:shd w:val="clear" w:color="auto" w:fill="auto"/>
            <w:vAlign w:val="center"/>
            <w:hideMark/>
          </w:tcPr>
          <w:p w:rsidR="00525FB4" w:rsidRPr="007A18DD" w:rsidRDefault="00525FB4" w:rsidP="00601306">
            <w:pPr>
              <w:spacing w:after="0" w:line="240" w:lineRule="auto"/>
              <w:jc w:val="center"/>
              <w:rPr>
                <w:rFonts w:ascii="Calibri" w:eastAsia="Times New Roman" w:hAnsi="Calibri" w:cs="Calibri"/>
                <w:b/>
                <w:bCs/>
              </w:rPr>
            </w:pPr>
            <w:r w:rsidRPr="007A18DD">
              <w:rPr>
                <w:rFonts w:ascii="Calibri" w:eastAsia="Times New Roman" w:hAnsi="Calibri" w:cs="Calibri"/>
                <w:b/>
                <w:bCs/>
              </w:rPr>
              <w:t xml:space="preserve">∆ </w:t>
            </w:r>
            <w:r w:rsidRPr="007A18DD">
              <w:rPr>
                <w:rFonts w:ascii="Calibri" w:eastAsia="Times New Roman" w:hAnsi="Calibri" w:cs="Calibri"/>
                <w:b/>
                <w:bCs/>
                <w:sz w:val="18"/>
                <w:szCs w:val="18"/>
              </w:rPr>
              <w:t>rispetto anno prec.</w:t>
            </w:r>
          </w:p>
        </w:tc>
        <w:tc>
          <w:tcPr>
            <w:tcW w:w="880" w:type="dxa"/>
            <w:tcBorders>
              <w:top w:val="single" w:sz="8" w:space="0" w:color="auto"/>
              <w:left w:val="nil"/>
              <w:bottom w:val="single" w:sz="8" w:space="0" w:color="auto"/>
              <w:right w:val="single" w:sz="8" w:space="0" w:color="auto"/>
            </w:tcBorders>
            <w:shd w:val="clear" w:color="auto" w:fill="auto"/>
            <w:vAlign w:val="center"/>
            <w:hideMark/>
          </w:tcPr>
          <w:p w:rsidR="00525FB4" w:rsidRPr="007A18DD" w:rsidRDefault="00525FB4" w:rsidP="00601306">
            <w:pPr>
              <w:spacing w:after="0" w:line="240" w:lineRule="auto"/>
              <w:jc w:val="center"/>
              <w:rPr>
                <w:rFonts w:ascii="Calibri" w:eastAsia="Times New Roman" w:hAnsi="Calibri" w:cs="Calibri"/>
                <w:b/>
                <w:bCs/>
                <w:sz w:val="18"/>
                <w:szCs w:val="18"/>
              </w:rPr>
            </w:pPr>
            <w:r w:rsidRPr="007A18DD">
              <w:rPr>
                <w:rFonts w:ascii="Calibri" w:eastAsia="Times New Roman" w:hAnsi="Calibri" w:cs="Calibri"/>
                <w:b/>
                <w:bCs/>
                <w:sz w:val="18"/>
                <w:szCs w:val="18"/>
              </w:rPr>
              <w:t>Personale TAB</w:t>
            </w:r>
          </w:p>
        </w:tc>
        <w:tc>
          <w:tcPr>
            <w:tcW w:w="729" w:type="dxa"/>
            <w:tcBorders>
              <w:top w:val="single" w:sz="8" w:space="0" w:color="auto"/>
              <w:left w:val="nil"/>
              <w:bottom w:val="single" w:sz="8" w:space="0" w:color="auto"/>
              <w:right w:val="single" w:sz="8" w:space="0" w:color="auto"/>
            </w:tcBorders>
            <w:shd w:val="clear" w:color="auto" w:fill="auto"/>
            <w:vAlign w:val="center"/>
            <w:hideMark/>
          </w:tcPr>
          <w:p w:rsidR="00525FB4" w:rsidRPr="007A18DD" w:rsidRDefault="00525FB4" w:rsidP="00601306">
            <w:pPr>
              <w:spacing w:after="0" w:line="240" w:lineRule="auto"/>
              <w:jc w:val="center"/>
              <w:rPr>
                <w:rFonts w:ascii="Calibri" w:eastAsia="Times New Roman" w:hAnsi="Calibri" w:cs="Calibri"/>
                <w:b/>
                <w:bCs/>
              </w:rPr>
            </w:pPr>
            <w:r w:rsidRPr="007A18DD">
              <w:rPr>
                <w:rFonts w:ascii="Calibri" w:eastAsia="Times New Roman" w:hAnsi="Calibri" w:cs="Calibri"/>
                <w:b/>
                <w:bCs/>
              </w:rPr>
              <w:t xml:space="preserve">∆ </w:t>
            </w:r>
            <w:r w:rsidRPr="007A18DD">
              <w:rPr>
                <w:rFonts w:ascii="Calibri" w:eastAsia="Times New Roman" w:hAnsi="Calibri" w:cs="Calibri"/>
                <w:b/>
                <w:bCs/>
                <w:sz w:val="18"/>
                <w:szCs w:val="18"/>
              </w:rPr>
              <w:t>rispetto anno prec.</w:t>
            </w:r>
          </w:p>
        </w:tc>
        <w:tc>
          <w:tcPr>
            <w:tcW w:w="786" w:type="dxa"/>
            <w:tcBorders>
              <w:top w:val="single" w:sz="8" w:space="0" w:color="auto"/>
              <w:left w:val="nil"/>
              <w:bottom w:val="single" w:sz="8" w:space="0" w:color="auto"/>
              <w:right w:val="single" w:sz="8" w:space="0" w:color="auto"/>
            </w:tcBorders>
            <w:shd w:val="clear" w:color="auto" w:fill="auto"/>
            <w:vAlign w:val="center"/>
            <w:hideMark/>
          </w:tcPr>
          <w:p w:rsidR="00525FB4" w:rsidRPr="007A18DD" w:rsidRDefault="00525FB4" w:rsidP="00601306">
            <w:pPr>
              <w:spacing w:after="0" w:line="240" w:lineRule="auto"/>
              <w:jc w:val="center"/>
              <w:rPr>
                <w:rFonts w:ascii="Calibri" w:eastAsia="Times New Roman" w:hAnsi="Calibri" w:cs="Calibri"/>
                <w:b/>
                <w:bCs/>
                <w:sz w:val="18"/>
                <w:szCs w:val="18"/>
              </w:rPr>
            </w:pPr>
            <w:r w:rsidRPr="007A18DD">
              <w:rPr>
                <w:rFonts w:ascii="Calibri" w:eastAsia="Times New Roman" w:hAnsi="Calibri" w:cs="Calibri"/>
                <w:b/>
                <w:bCs/>
                <w:sz w:val="18"/>
                <w:szCs w:val="18"/>
              </w:rPr>
              <w:t>Dirigenti</w:t>
            </w:r>
          </w:p>
        </w:tc>
        <w:tc>
          <w:tcPr>
            <w:tcW w:w="729" w:type="dxa"/>
            <w:tcBorders>
              <w:top w:val="single" w:sz="8" w:space="0" w:color="auto"/>
              <w:left w:val="nil"/>
              <w:bottom w:val="single" w:sz="8" w:space="0" w:color="auto"/>
              <w:right w:val="single" w:sz="8" w:space="0" w:color="auto"/>
            </w:tcBorders>
            <w:shd w:val="clear" w:color="auto" w:fill="auto"/>
            <w:vAlign w:val="center"/>
            <w:hideMark/>
          </w:tcPr>
          <w:p w:rsidR="00525FB4" w:rsidRPr="007A18DD" w:rsidRDefault="00525FB4" w:rsidP="00601306">
            <w:pPr>
              <w:spacing w:after="0" w:line="240" w:lineRule="auto"/>
              <w:jc w:val="center"/>
              <w:rPr>
                <w:rFonts w:ascii="Calibri" w:eastAsia="Times New Roman" w:hAnsi="Calibri" w:cs="Calibri"/>
                <w:b/>
                <w:bCs/>
              </w:rPr>
            </w:pPr>
            <w:r w:rsidRPr="007A18DD">
              <w:rPr>
                <w:rFonts w:ascii="Calibri" w:eastAsia="Times New Roman" w:hAnsi="Calibri" w:cs="Calibri"/>
                <w:b/>
                <w:bCs/>
              </w:rPr>
              <w:t xml:space="preserve">∆ </w:t>
            </w:r>
            <w:r w:rsidRPr="007A18DD">
              <w:rPr>
                <w:rFonts w:ascii="Calibri" w:eastAsia="Times New Roman" w:hAnsi="Calibri" w:cs="Calibri"/>
                <w:b/>
                <w:bCs/>
                <w:sz w:val="18"/>
                <w:szCs w:val="18"/>
              </w:rPr>
              <w:t>rispetto anno prec.</w:t>
            </w:r>
          </w:p>
        </w:tc>
        <w:tc>
          <w:tcPr>
            <w:tcW w:w="1123" w:type="dxa"/>
            <w:tcBorders>
              <w:top w:val="single" w:sz="8" w:space="0" w:color="auto"/>
              <w:left w:val="nil"/>
              <w:bottom w:val="single" w:sz="8" w:space="0" w:color="auto"/>
              <w:right w:val="single" w:sz="8" w:space="0" w:color="auto"/>
            </w:tcBorders>
            <w:shd w:val="clear" w:color="auto" w:fill="auto"/>
            <w:vAlign w:val="center"/>
            <w:hideMark/>
          </w:tcPr>
          <w:p w:rsidR="00525FB4" w:rsidRPr="007A18DD" w:rsidRDefault="00525FB4" w:rsidP="00601306">
            <w:pPr>
              <w:spacing w:after="0" w:line="240" w:lineRule="auto"/>
              <w:jc w:val="center"/>
              <w:rPr>
                <w:rFonts w:ascii="Calibri" w:eastAsia="Times New Roman" w:hAnsi="Calibri" w:cs="Calibri"/>
                <w:b/>
                <w:bCs/>
                <w:sz w:val="18"/>
                <w:szCs w:val="18"/>
              </w:rPr>
            </w:pPr>
            <w:r w:rsidRPr="007A18DD">
              <w:rPr>
                <w:rFonts w:ascii="Calibri" w:eastAsia="Times New Roman" w:hAnsi="Calibri" w:cs="Calibri"/>
                <w:b/>
                <w:bCs/>
                <w:sz w:val="18"/>
                <w:szCs w:val="18"/>
              </w:rPr>
              <w:t>Collaboratori linguistici</w:t>
            </w:r>
          </w:p>
        </w:tc>
        <w:tc>
          <w:tcPr>
            <w:tcW w:w="729" w:type="dxa"/>
            <w:tcBorders>
              <w:top w:val="single" w:sz="8" w:space="0" w:color="auto"/>
              <w:left w:val="nil"/>
              <w:bottom w:val="single" w:sz="8" w:space="0" w:color="auto"/>
              <w:right w:val="single" w:sz="8" w:space="0" w:color="auto"/>
            </w:tcBorders>
            <w:shd w:val="clear" w:color="auto" w:fill="auto"/>
            <w:vAlign w:val="center"/>
            <w:hideMark/>
          </w:tcPr>
          <w:p w:rsidR="00525FB4" w:rsidRPr="007A18DD" w:rsidRDefault="00525FB4" w:rsidP="00601306">
            <w:pPr>
              <w:spacing w:after="0" w:line="240" w:lineRule="auto"/>
              <w:jc w:val="center"/>
              <w:rPr>
                <w:rFonts w:ascii="Calibri" w:eastAsia="Times New Roman" w:hAnsi="Calibri" w:cs="Calibri"/>
                <w:b/>
                <w:bCs/>
              </w:rPr>
            </w:pPr>
            <w:r w:rsidRPr="007A18DD">
              <w:rPr>
                <w:rFonts w:ascii="Calibri" w:eastAsia="Times New Roman" w:hAnsi="Calibri" w:cs="Calibri"/>
                <w:b/>
                <w:bCs/>
              </w:rPr>
              <w:t xml:space="preserve">∆ </w:t>
            </w:r>
            <w:r w:rsidRPr="007A18DD">
              <w:rPr>
                <w:rFonts w:ascii="Calibri" w:eastAsia="Times New Roman" w:hAnsi="Calibri" w:cs="Calibri"/>
                <w:b/>
                <w:bCs/>
                <w:sz w:val="18"/>
                <w:szCs w:val="18"/>
              </w:rPr>
              <w:t>rispetto anno prec.</w:t>
            </w:r>
          </w:p>
        </w:tc>
      </w:tr>
      <w:tr w:rsidR="00525FB4" w:rsidRPr="007A18DD" w:rsidTr="00525FB4">
        <w:trPr>
          <w:trHeight w:val="315"/>
        </w:trPr>
        <w:tc>
          <w:tcPr>
            <w:tcW w:w="1707" w:type="dxa"/>
            <w:tcBorders>
              <w:top w:val="nil"/>
              <w:left w:val="single" w:sz="8" w:space="0" w:color="auto"/>
              <w:bottom w:val="single" w:sz="8" w:space="0" w:color="auto"/>
              <w:right w:val="single" w:sz="8" w:space="0" w:color="auto"/>
            </w:tcBorders>
            <w:shd w:val="clear" w:color="auto" w:fill="auto"/>
            <w:noWrap/>
            <w:vAlign w:val="center"/>
            <w:hideMark/>
          </w:tcPr>
          <w:p w:rsidR="00525FB4" w:rsidRPr="007A18DD" w:rsidRDefault="00525FB4" w:rsidP="00601306">
            <w:pPr>
              <w:spacing w:after="0" w:line="240" w:lineRule="auto"/>
              <w:jc w:val="center"/>
              <w:rPr>
                <w:rFonts w:ascii="Calibri" w:eastAsia="Times New Roman" w:hAnsi="Calibri" w:cs="Calibri"/>
                <w:sz w:val="18"/>
                <w:szCs w:val="18"/>
              </w:rPr>
            </w:pPr>
            <w:r w:rsidRPr="007A18DD">
              <w:rPr>
                <w:rFonts w:ascii="Calibri" w:eastAsia="Times New Roman" w:hAnsi="Calibri" w:cs="Calibri"/>
                <w:sz w:val="18"/>
                <w:szCs w:val="18"/>
              </w:rPr>
              <w:t>2016</w:t>
            </w:r>
          </w:p>
        </w:tc>
        <w:tc>
          <w:tcPr>
            <w:tcW w:w="1740" w:type="dxa"/>
            <w:tcBorders>
              <w:top w:val="nil"/>
              <w:left w:val="nil"/>
              <w:bottom w:val="single" w:sz="8" w:space="0" w:color="auto"/>
              <w:right w:val="single" w:sz="8" w:space="0" w:color="auto"/>
            </w:tcBorders>
            <w:shd w:val="clear" w:color="auto" w:fill="auto"/>
            <w:noWrap/>
            <w:vAlign w:val="center"/>
            <w:hideMark/>
          </w:tcPr>
          <w:p w:rsidR="00525FB4" w:rsidRPr="007A18DD" w:rsidRDefault="00525FB4" w:rsidP="00601306">
            <w:pPr>
              <w:spacing w:after="0" w:line="240" w:lineRule="auto"/>
              <w:jc w:val="center"/>
              <w:rPr>
                <w:rFonts w:ascii="Calibri" w:eastAsia="Times New Roman" w:hAnsi="Calibri" w:cs="Calibri"/>
                <w:sz w:val="18"/>
                <w:szCs w:val="18"/>
              </w:rPr>
            </w:pPr>
            <w:r w:rsidRPr="007A18DD">
              <w:rPr>
                <w:rFonts w:ascii="Calibri" w:eastAsia="Times New Roman" w:hAnsi="Calibri" w:cs="Calibri"/>
                <w:sz w:val="18"/>
                <w:szCs w:val="18"/>
              </w:rPr>
              <w:t>1822</w:t>
            </w:r>
          </w:p>
        </w:tc>
        <w:tc>
          <w:tcPr>
            <w:tcW w:w="729" w:type="dxa"/>
            <w:tcBorders>
              <w:top w:val="nil"/>
              <w:left w:val="nil"/>
              <w:bottom w:val="single" w:sz="8" w:space="0" w:color="auto"/>
              <w:right w:val="single" w:sz="8" w:space="0" w:color="auto"/>
            </w:tcBorders>
            <w:shd w:val="clear" w:color="auto" w:fill="auto"/>
            <w:noWrap/>
            <w:vAlign w:val="center"/>
            <w:hideMark/>
          </w:tcPr>
          <w:p w:rsidR="00525FB4" w:rsidRPr="007A18DD" w:rsidRDefault="00525FB4" w:rsidP="00601306">
            <w:pPr>
              <w:spacing w:after="0" w:line="240" w:lineRule="auto"/>
              <w:jc w:val="center"/>
              <w:rPr>
                <w:rFonts w:ascii="Calibri" w:eastAsia="Times New Roman" w:hAnsi="Calibri" w:cs="Calibri"/>
                <w:sz w:val="18"/>
                <w:szCs w:val="18"/>
              </w:rPr>
            </w:pPr>
            <w:r w:rsidRPr="007A18DD">
              <w:rPr>
                <w:rFonts w:ascii="Calibri" w:eastAsia="Times New Roman" w:hAnsi="Calibri" w:cs="Calibri"/>
                <w:sz w:val="18"/>
                <w:szCs w:val="18"/>
              </w:rPr>
              <w:t>-46</w:t>
            </w:r>
          </w:p>
        </w:tc>
        <w:tc>
          <w:tcPr>
            <w:tcW w:w="880" w:type="dxa"/>
            <w:tcBorders>
              <w:top w:val="nil"/>
              <w:left w:val="nil"/>
              <w:bottom w:val="single" w:sz="8" w:space="0" w:color="auto"/>
              <w:right w:val="single" w:sz="8" w:space="0" w:color="auto"/>
            </w:tcBorders>
            <w:shd w:val="clear" w:color="auto" w:fill="auto"/>
            <w:noWrap/>
            <w:vAlign w:val="center"/>
            <w:hideMark/>
          </w:tcPr>
          <w:p w:rsidR="00525FB4" w:rsidRPr="007A18DD" w:rsidRDefault="00525FB4" w:rsidP="00601306">
            <w:pPr>
              <w:spacing w:after="0" w:line="240" w:lineRule="auto"/>
              <w:jc w:val="center"/>
              <w:rPr>
                <w:rFonts w:ascii="Calibri" w:eastAsia="Times New Roman" w:hAnsi="Calibri" w:cs="Calibri"/>
                <w:sz w:val="18"/>
                <w:szCs w:val="18"/>
              </w:rPr>
            </w:pPr>
            <w:r w:rsidRPr="007A18DD">
              <w:rPr>
                <w:rFonts w:ascii="Calibri" w:eastAsia="Times New Roman" w:hAnsi="Calibri" w:cs="Calibri"/>
                <w:sz w:val="18"/>
                <w:szCs w:val="18"/>
              </w:rPr>
              <w:t>1880</w:t>
            </w:r>
          </w:p>
        </w:tc>
        <w:tc>
          <w:tcPr>
            <w:tcW w:w="729" w:type="dxa"/>
            <w:tcBorders>
              <w:top w:val="nil"/>
              <w:left w:val="nil"/>
              <w:bottom w:val="single" w:sz="8" w:space="0" w:color="auto"/>
              <w:right w:val="single" w:sz="8" w:space="0" w:color="auto"/>
            </w:tcBorders>
            <w:shd w:val="clear" w:color="auto" w:fill="auto"/>
            <w:noWrap/>
            <w:vAlign w:val="center"/>
            <w:hideMark/>
          </w:tcPr>
          <w:p w:rsidR="00525FB4" w:rsidRPr="007A18DD" w:rsidRDefault="00525FB4" w:rsidP="00601306">
            <w:pPr>
              <w:spacing w:after="0" w:line="240" w:lineRule="auto"/>
              <w:jc w:val="center"/>
              <w:rPr>
                <w:rFonts w:ascii="Calibri" w:eastAsia="Times New Roman" w:hAnsi="Calibri" w:cs="Calibri"/>
                <w:sz w:val="18"/>
                <w:szCs w:val="18"/>
              </w:rPr>
            </w:pPr>
            <w:r w:rsidRPr="007A18DD">
              <w:rPr>
                <w:rFonts w:ascii="Calibri" w:eastAsia="Times New Roman" w:hAnsi="Calibri" w:cs="Calibri"/>
                <w:sz w:val="18"/>
                <w:szCs w:val="18"/>
              </w:rPr>
              <w:t>25</w:t>
            </w:r>
          </w:p>
        </w:tc>
        <w:tc>
          <w:tcPr>
            <w:tcW w:w="786" w:type="dxa"/>
            <w:tcBorders>
              <w:top w:val="nil"/>
              <w:left w:val="nil"/>
              <w:bottom w:val="single" w:sz="8" w:space="0" w:color="auto"/>
              <w:right w:val="single" w:sz="8" w:space="0" w:color="auto"/>
            </w:tcBorders>
            <w:shd w:val="clear" w:color="auto" w:fill="auto"/>
            <w:noWrap/>
            <w:vAlign w:val="center"/>
            <w:hideMark/>
          </w:tcPr>
          <w:p w:rsidR="00525FB4" w:rsidRPr="007A18DD" w:rsidRDefault="00525FB4" w:rsidP="00601306">
            <w:pPr>
              <w:spacing w:after="0" w:line="240" w:lineRule="auto"/>
              <w:jc w:val="center"/>
              <w:rPr>
                <w:rFonts w:ascii="Calibri" w:eastAsia="Times New Roman" w:hAnsi="Calibri" w:cs="Calibri"/>
                <w:sz w:val="18"/>
                <w:szCs w:val="18"/>
              </w:rPr>
            </w:pPr>
            <w:r w:rsidRPr="007A18DD">
              <w:rPr>
                <w:rFonts w:ascii="Calibri" w:eastAsia="Times New Roman" w:hAnsi="Calibri" w:cs="Calibri"/>
                <w:sz w:val="18"/>
                <w:szCs w:val="18"/>
              </w:rPr>
              <w:t>10</w:t>
            </w:r>
          </w:p>
        </w:tc>
        <w:tc>
          <w:tcPr>
            <w:tcW w:w="729" w:type="dxa"/>
            <w:tcBorders>
              <w:top w:val="nil"/>
              <w:left w:val="nil"/>
              <w:bottom w:val="single" w:sz="8" w:space="0" w:color="auto"/>
              <w:right w:val="single" w:sz="8" w:space="0" w:color="auto"/>
            </w:tcBorders>
            <w:shd w:val="clear" w:color="auto" w:fill="auto"/>
            <w:noWrap/>
            <w:vAlign w:val="center"/>
            <w:hideMark/>
          </w:tcPr>
          <w:p w:rsidR="00525FB4" w:rsidRPr="007A18DD" w:rsidRDefault="00525FB4" w:rsidP="00601306">
            <w:pPr>
              <w:spacing w:after="0" w:line="240" w:lineRule="auto"/>
              <w:jc w:val="center"/>
              <w:rPr>
                <w:rFonts w:ascii="Calibri" w:eastAsia="Times New Roman" w:hAnsi="Calibri" w:cs="Calibri"/>
                <w:sz w:val="18"/>
                <w:szCs w:val="18"/>
              </w:rPr>
            </w:pPr>
            <w:r w:rsidRPr="007A18DD">
              <w:rPr>
                <w:rFonts w:ascii="Calibri" w:eastAsia="Times New Roman" w:hAnsi="Calibri" w:cs="Calibri"/>
                <w:sz w:val="18"/>
                <w:szCs w:val="18"/>
              </w:rPr>
              <w:t>0</w:t>
            </w:r>
          </w:p>
        </w:tc>
        <w:tc>
          <w:tcPr>
            <w:tcW w:w="1123" w:type="dxa"/>
            <w:tcBorders>
              <w:top w:val="nil"/>
              <w:left w:val="nil"/>
              <w:bottom w:val="single" w:sz="8" w:space="0" w:color="auto"/>
              <w:right w:val="single" w:sz="8" w:space="0" w:color="auto"/>
            </w:tcBorders>
            <w:shd w:val="clear" w:color="auto" w:fill="auto"/>
            <w:noWrap/>
            <w:vAlign w:val="center"/>
            <w:hideMark/>
          </w:tcPr>
          <w:p w:rsidR="00525FB4" w:rsidRPr="007A18DD" w:rsidRDefault="00525FB4" w:rsidP="00601306">
            <w:pPr>
              <w:spacing w:after="0" w:line="240" w:lineRule="auto"/>
              <w:jc w:val="center"/>
              <w:rPr>
                <w:rFonts w:ascii="Calibri" w:eastAsia="Times New Roman" w:hAnsi="Calibri" w:cs="Calibri"/>
                <w:sz w:val="18"/>
                <w:szCs w:val="18"/>
              </w:rPr>
            </w:pPr>
            <w:r w:rsidRPr="007A18DD">
              <w:rPr>
                <w:rFonts w:ascii="Calibri" w:eastAsia="Times New Roman" w:hAnsi="Calibri" w:cs="Calibri"/>
                <w:sz w:val="18"/>
                <w:szCs w:val="18"/>
              </w:rPr>
              <w:t>43</w:t>
            </w:r>
          </w:p>
        </w:tc>
        <w:tc>
          <w:tcPr>
            <w:tcW w:w="729" w:type="dxa"/>
            <w:tcBorders>
              <w:top w:val="nil"/>
              <w:left w:val="nil"/>
              <w:bottom w:val="single" w:sz="8" w:space="0" w:color="auto"/>
              <w:right w:val="single" w:sz="8" w:space="0" w:color="auto"/>
            </w:tcBorders>
            <w:shd w:val="clear" w:color="auto" w:fill="auto"/>
            <w:noWrap/>
            <w:vAlign w:val="center"/>
            <w:hideMark/>
          </w:tcPr>
          <w:p w:rsidR="00525FB4" w:rsidRPr="007A18DD" w:rsidRDefault="00525FB4" w:rsidP="00601306">
            <w:pPr>
              <w:spacing w:after="0" w:line="240" w:lineRule="auto"/>
              <w:jc w:val="center"/>
              <w:rPr>
                <w:rFonts w:ascii="Calibri" w:eastAsia="Times New Roman" w:hAnsi="Calibri" w:cs="Calibri"/>
                <w:sz w:val="18"/>
                <w:szCs w:val="18"/>
              </w:rPr>
            </w:pPr>
            <w:r w:rsidRPr="007A18DD">
              <w:rPr>
                <w:rFonts w:ascii="Calibri" w:eastAsia="Times New Roman" w:hAnsi="Calibri" w:cs="Calibri"/>
                <w:sz w:val="18"/>
                <w:szCs w:val="18"/>
              </w:rPr>
              <w:t>-3</w:t>
            </w:r>
          </w:p>
        </w:tc>
      </w:tr>
      <w:tr w:rsidR="00525FB4" w:rsidRPr="007A18DD" w:rsidTr="00525FB4">
        <w:trPr>
          <w:trHeight w:val="315"/>
        </w:trPr>
        <w:tc>
          <w:tcPr>
            <w:tcW w:w="1707" w:type="dxa"/>
            <w:tcBorders>
              <w:top w:val="nil"/>
              <w:left w:val="single" w:sz="8" w:space="0" w:color="auto"/>
              <w:bottom w:val="single" w:sz="8" w:space="0" w:color="auto"/>
              <w:right w:val="single" w:sz="8" w:space="0" w:color="auto"/>
            </w:tcBorders>
            <w:shd w:val="clear" w:color="auto" w:fill="auto"/>
            <w:noWrap/>
            <w:vAlign w:val="center"/>
            <w:hideMark/>
          </w:tcPr>
          <w:p w:rsidR="00525FB4" w:rsidRPr="007A18DD" w:rsidRDefault="00525FB4" w:rsidP="00601306">
            <w:pPr>
              <w:spacing w:after="0" w:line="240" w:lineRule="auto"/>
              <w:jc w:val="center"/>
              <w:rPr>
                <w:rFonts w:ascii="Calibri" w:eastAsia="Times New Roman" w:hAnsi="Calibri" w:cs="Calibri"/>
                <w:sz w:val="18"/>
                <w:szCs w:val="18"/>
              </w:rPr>
            </w:pPr>
            <w:r w:rsidRPr="007A18DD">
              <w:rPr>
                <w:rFonts w:ascii="Calibri" w:eastAsia="Times New Roman" w:hAnsi="Calibri" w:cs="Calibri"/>
                <w:sz w:val="18"/>
                <w:szCs w:val="18"/>
              </w:rPr>
              <w:t>2017</w:t>
            </w:r>
          </w:p>
        </w:tc>
        <w:tc>
          <w:tcPr>
            <w:tcW w:w="1740" w:type="dxa"/>
            <w:tcBorders>
              <w:top w:val="nil"/>
              <w:left w:val="nil"/>
              <w:bottom w:val="single" w:sz="8" w:space="0" w:color="auto"/>
              <w:right w:val="single" w:sz="8" w:space="0" w:color="auto"/>
            </w:tcBorders>
            <w:shd w:val="clear" w:color="auto" w:fill="auto"/>
            <w:noWrap/>
            <w:vAlign w:val="center"/>
            <w:hideMark/>
          </w:tcPr>
          <w:p w:rsidR="00525FB4" w:rsidRPr="007A18DD" w:rsidRDefault="00525FB4" w:rsidP="00601306">
            <w:pPr>
              <w:spacing w:after="0" w:line="240" w:lineRule="auto"/>
              <w:jc w:val="center"/>
              <w:rPr>
                <w:rFonts w:ascii="Calibri" w:eastAsia="Times New Roman" w:hAnsi="Calibri" w:cs="Calibri"/>
                <w:sz w:val="18"/>
                <w:szCs w:val="18"/>
              </w:rPr>
            </w:pPr>
            <w:r w:rsidRPr="007A18DD">
              <w:rPr>
                <w:rFonts w:ascii="Calibri" w:eastAsia="Times New Roman" w:hAnsi="Calibri" w:cs="Calibri"/>
                <w:sz w:val="18"/>
                <w:szCs w:val="18"/>
              </w:rPr>
              <w:t>1785</w:t>
            </w:r>
          </w:p>
        </w:tc>
        <w:tc>
          <w:tcPr>
            <w:tcW w:w="729" w:type="dxa"/>
            <w:tcBorders>
              <w:top w:val="nil"/>
              <w:left w:val="nil"/>
              <w:bottom w:val="single" w:sz="8" w:space="0" w:color="auto"/>
              <w:right w:val="single" w:sz="8" w:space="0" w:color="auto"/>
            </w:tcBorders>
            <w:shd w:val="clear" w:color="auto" w:fill="auto"/>
            <w:noWrap/>
            <w:vAlign w:val="center"/>
            <w:hideMark/>
          </w:tcPr>
          <w:p w:rsidR="00525FB4" w:rsidRPr="007A18DD" w:rsidRDefault="00525FB4" w:rsidP="00601306">
            <w:pPr>
              <w:spacing w:after="0" w:line="240" w:lineRule="auto"/>
              <w:jc w:val="center"/>
              <w:rPr>
                <w:rFonts w:ascii="Calibri" w:eastAsia="Times New Roman" w:hAnsi="Calibri" w:cs="Calibri"/>
                <w:sz w:val="18"/>
                <w:szCs w:val="18"/>
              </w:rPr>
            </w:pPr>
            <w:r w:rsidRPr="007A18DD">
              <w:rPr>
                <w:rFonts w:ascii="Calibri" w:eastAsia="Times New Roman" w:hAnsi="Calibri" w:cs="Calibri"/>
                <w:sz w:val="18"/>
                <w:szCs w:val="18"/>
              </w:rPr>
              <w:t>-37</w:t>
            </w:r>
          </w:p>
        </w:tc>
        <w:tc>
          <w:tcPr>
            <w:tcW w:w="880" w:type="dxa"/>
            <w:tcBorders>
              <w:top w:val="nil"/>
              <w:left w:val="nil"/>
              <w:bottom w:val="single" w:sz="8" w:space="0" w:color="auto"/>
              <w:right w:val="single" w:sz="8" w:space="0" w:color="auto"/>
            </w:tcBorders>
            <w:shd w:val="clear" w:color="auto" w:fill="auto"/>
            <w:noWrap/>
            <w:vAlign w:val="center"/>
            <w:hideMark/>
          </w:tcPr>
          <w:p w:rsidR="00525FB4" w:rsidRPr="007A18DD" w:rsidRDefault="00525FB4" w:rsidP="00601306">
            <w:pPr>
              <w:spacing w:after="0" w:line="240" w:lineRule="auto"/>
              <w:jc w:val="center"/>
              <w:rPr>
                <w:rFonts w:ascii="Calibri" w:eastAsia="Times New Roman" w:hAnsi="Calibri" w:cs="Calibri"/>
                <w:sz w:val="18"/>
                <w:szCs w:val="18"/>
              </w:rPr>
            </w:pPr>
            <w:r w:rsidRPr="007A18DD">
              <w:rPr>
                <w:rFonts w:ascii="Calibri" w:eastAsia="Times New Roman" w:hAnsi="Calibri" w:cs="Calibri"/>
                <w:sz w:val="18"/>
                <w:szCs w:val="18"/>
              </w:rPr>
              <w:t>1853</w:t>
            </w:r>
          </w:p>
        </w:tc>
        <w:tc>
          <w:tcPr>
            <w:tcW w:w="729" w:type="dxa"/>
            <w:tcBorders>
              <w:top w:val="nil"/>
              <w:left w:val="nil"/>
              <w:bottom w:val="single" w:sz="8" w:space="0" w:color="auto"/>
              <w:right w:val="single" w:sz="8" w:space="0" w:color="auto"/>
            </w:tcBorders>
            <w:shd w:val="clear" w:color="auto" w:fill="auto"/>
            <w:noWrap/>
            <w:vAlign w:val="center"/>
            <w:hideMark/>
          </w:tcPr>
          <w:p w:rsidR="00525FB4" w:rsidRPr="007A18DD" w:rsidRDefault="00525FB4" w:rsidP="00601306">
            <w:pPr>
              <w:spacing w:after="0" w:line="240" w:lineRule="auto"/>
              <w:jc w:val="center"/>
              <w:rPr>
                <w:rFonts w:ascii="Calibri" w:eastAsia="Times New Roman" w:hAnsi="Calibri" w:cs="Calibri"/>
                <w:sz w:val="18"/>
                <w:szCs w:val="18"/>
              </w:rPr>
            </w:pPr>
            <w:r w:rsidRPr="007A18DD">
              <w:rPr>
                <w:rFonts w:ascii="Calibri" w:eastAsia="Times New Roman" w:hAnsi="Calibri" w:cs="Calibri"/>
                <w:sz w:val="18"/>
                <w:szCs w:val="18"/>
              </w:rPr>
              <w:t>-27</w:t>
            </w:r>
          </w:p>
        </w:tc>
        <w:tc>
          <w:tcPr>
            <w:tcW w:w="786" w:type="dxa"/>
            <w:tcBorders>
              <w:top w:val="nil"/>
              <w:left w:val="nil"/>
              <w:bottom w:val="single" w:sz="8" w:space="0" w:color="auto"/>
              <w:right w:val="single" w:sz="8" w:space="0" w:color="auto"/>
            </w:tcBorders>
            <w:shd w:val="clear" w:color="auto" w:fill="auto"/>
            <w:noWrap/>
            <w:vAlign w:val="center"/>
            <w:hideMark/>
          </w:tcPr>
          <w:p w:rsidR="00525FB4" w:rsidRPr="007A18DD" w:rsidRDefault="00525FB4" w:rsidP="00601306">
            <w:pPr>
              <w:spacing w:after="0" w:line="240" w:lineRule="auto"/>
              <w:jc w:val="center"/>
              <w:rPr>
                <w:rFonts w:ascii="Calibri" w:eastAsia="Times New Roman" w:hAnsi="Calibri" w:cs="Calibri"/>
                <w:sz w:val="18"/>
                <w:szCs w:val="18"/>
              </w:rPr>
            </w:pPr>
            <w:r w:rsidRPr="007A18DD">
              <w:rPr>
                <w:rFonts w:ascii="Calibri" w:eastAsia="Times New Roman" w:hAnsi="Calibri" w:cs="Calibri"/>
                <w:sz w:val="18"/>
                <w:szCs w:val="18"/>
              </w:rPr>
              <w:t>9</w:t>
            </w:r>
          </w:p>
        </w:tc>
        <w:tc>
          <w:tcPr>
            <w:tcW w:w="729" w:type="dxa"/>
            <w:tcBorders>
              <w:top w:val="nil"/>
              <w:left w:val="nil"/>
              <w:bottom w:val="single" w:sz="8" w:space="0" w:color="auto"/>
              <w:right w:val="single" w:sz="8" w:space="0" w:color="auto"/>
            </w:tcBorders>
            <w:shd w:val="clear" w:color="auto" w:fill="auto"/>
            <w:noWrap/>
            <w:vAlign w:val="center"/>
            <w:hideMark/>
          </w:tcPr>
          <w:p w:rsidR="00525FB4" w:rsidRPr="007A18DD" w:rsidRDefault="00525FB4" w:rsidP="00601306">
            <w:pPr>
              <w:spacing w:after="0" w:line="240" w:lineRule="auto"/>
              <w:jc w:val="center"/>
              <w:rPr>
                <w:rFonts w:ascii="Calibri" w:eastAsia="Times New Roman" w:hAnsi="Calibri" w:cs="Calibri"/>
                <w:sz w:val="18"/>
                <w:szCs w:val="18"/>
              </w:rPr>
            </w:pPr>
            <w:r w:rsidRPr="007A18DD">
              <w:rPr>
                <w:rFonts w:ascii="Calibri" w:eastAsia="Times New Roman" w:hAnsi="Calibri" w:cs="Calibri"/>
                <w:sz w:val="18"/>
                <w:szCs w:val="18"/>
              </w:rPr>
              <w:t>-1</w:t>
            </w:r>
          </w:p>
        </w:tc>
        <w:tc>
          <w:tcPr>
            <w:tcW w:w="1123" w:type="dxa"/>
            <w:tcBorders>
              <w:top w:val="nil"/>
              <w:left w:val="nil"/>
              <w:bottom w:val="single" w:sz="8" w:space="0" w:color="auto"/>
              <w:right w:val="single" w:sz="8" w:space="0" w:color="auto"/>
            </w:tcBorders>
            <w:shd w:val="clear" w:color="auto" w:fill="auto"/>
            <w:noWrap/>
            <w:vAlign w:val="center"/>
            <w:hideMark/>
          </w:tcPr>
          <w:p w:rsidR="00525FB4" w:rsidRPr="007A18DD" w:rsidRDefault="00525FB4" w:rsidP="00601306">
            <w:pPr>
              <w:spacing w:after="0" w:line="240" w:lineRule="auto"/>
              <w:jc w:val="center"/>
              <w:rPr>
                <w:rFonts w:ascii="Calibri" w:eastAsia="Times New Roman" w:hAnsi="Calibri" w:cs="Calibri"/>
                <w:sz w:val="18"/>
                <w:szCs w:val="18"/>
              </w:rPr>
            </w:pPr>
            <w:r w:rsidRPr="007A18DD">
              <w:rPr>
                <w:rFonts w:ascii="Calibri" w:eastAsia="Times New Roman" w:hAnsi="Calibri" w:cs="Calibri"/>
                <w:sz w:val="18"/>
                <w:szCs w:val="18"/>
              </w:rPr>
              <w:t>40</w:t>
            </w:r>
          </w:p>
        </w:tc>
        <w:tc>
          <w:tcPr>
            <w:tcW w:w="729" w:type="dxa"/>
            <w:tcBorders>
              <w:top w:val="nil"/>
              <w:left w:val="nil"/>
              <w:bottom w:val="single" w:sz="8" w:space="0" w:color="auto"/>
              <w:right w:val="single" w:sz="8" w:space="0" w:color="auto"/>
            </w:tcBorders>
            <w:shd w:val="clear" w:color="auto" w:fill="auto"/>
            <w:noWrap/>
            <w:vAlign w:val="center"/>
            <w:hideMark/>
          </w:tcPr>
          <w:p w:rsidR="00525FB4" w:rsidRPr="007A18DD" w:rsidRDefault="00525FB4" w:rsidP="00601306">
            <w:pPr>
              <w:spacing w:after="0" w:line="240" w:lineRule="auto"/>
              <w:jc w:val="center"/>
              <w:rPr>
                <w:rFonts w:ascii="Calibri" w:eastAsia="Times New Roman" w:hAnsi="Calibri" w:cs="Calibri"/>
                <w:sz w:val="18"/>
                <w:szCs w:val="18"/>
              </w:rPr>
            </w:pPr>
            <w:r w:rsidRPr="007A18DD">
              <w:rPr>
                <w:rFonts w:ascii="Calibri" w:eastAsia="Times New Roman" w:hAnsi="Calibri" w:cs="Calibri"/>
                <w:sz w:val="18"/>
                <w:szCs w:val="18"/>
              </w:rPr>
              <w:t>-3</w:t>
            </w:r>
          </w:p>
        </w:tc>
      </w:tr>
      <w:tr w:rsidR="00525FB4" w:rsidRPr="007A18DD" w:rsidTr="00525FB4">
        <w:trPr>
          <w:trHeight w:val="315"/>
        </w:trPr>
        <w:tc>
          <w:tcPr>
            <w:tcW w:w="1707" w:type="dxa"/>
            <w:tcBorders>
              <w:top w:val="nil"/>
              <w:left w:val="single" w:sz="8" w:space="0" w:color="auto"/>
              <w:bottom w:val="single" w:sz="8" w:space="0" w:color="auto"/>
              <w:right w:val="single" w:sz="8" w:space="0" w:color="auto"/>
            </w:tcBorders>
            <w:shd w:val="clear" w:color="auto" w:fill="auto"/>
            <w:noWrap/>
            <w:vAlign w:val="center"/>
            <w:hideMark/>
          </w:tcPr>
          <w:p w:rsidR="00525FB4" w:rsidRPr="007A18DD" w:rsidRDefault="00525FB4" w:rsidP="00601306">
            <w:pPr>
              <w:spacing w:after="0" w:line="240" w:lineRule="auto"/>
              <w:jc w:val="center"/>
              <w:rPr>
                <w:rFonts w:ascii="Calibri" w:eastAsia="Times New Roman" w:hAnsi="Calibri" w:cs="Calibri"/>
                <w:sz w:val="18"/>
                <w:szCs w:val="18"/>
              </w:rPr>
            </w:pPr>
            <w:r w:rsidRPr="007A18DD">
              <w:rPr>
                <w:rFonts w:ascii="Calibri" w:eastAsia="Times New Roman" w:hAnsi="Calibri" w:cs="Calibri"/>
                <w:sz w:val="18"/>
                <w:szCs w:val="18"/>
              </w:rPr>
              <w:t>2018</w:t>
            </w:r>
          </w:p>
        </w:tc>
        <w:tc>
          <w:tcPr>
            <w:tcW w:w="1740" w:type="dxa"/>
            <w:tcBorders>
              <w:top w:val="nil"/>
              <w:left w:val="nil"/>
              <w:bottom w:val="single" w:sz="8" w:space="0" w:color="auto"/>
              <w:right w:val="single" w:sz="8" w:space="0" w:color="auto"/>
            </w:tcBorders>
            <w:shd w:val="clear" w:color="auto" w:fill="auto"/>
            <w:noWrap/>
            <w:vAlign w:val="center"/>
            <w:hideMark/>
          </w:tcPr>
          <w:p w:rsidR="00525FB4" w:rsidRPr="007A18DD" w:rsidRDefault="00525FB4" w:rsidP="00601306">
            <w:pPr>
              <w:spacing w:after="0" w:line="240" w:lineRule="auto"/>
              <w:jc w:val="center"/>
              <w:rPr>
                <w:rFonts w:ascii="Calibri" w:eastAsia="Times New Roman" w:hAnsi="Calibri" w:cs="Calibri"/>
                <w:sz w:val="18"/>
                <w:szCs w:val="18"/>
              </w:rPr>
            </w:pPr>
            <w:r w:rsidRPr="007A18DD">
              <w:rPr>
                <w:rFonts w:ascii="Calibri" w:eastAsia="Times New Roman" w:hAnsi="Calibri" w:cs="Calibri"/>
                <w:sz w:val="18"/>
                <w:szCs w:val="18"/>
              </w:rPr>
              <w:t>1787</w:t>
            </w:r>
          </w:p>
        </w:tc>
        <w:tc>
          <w:tcPr>
            <w:tcW w:w="729" w:type="dxa"/>
            <w:tcBorders>
              <w:top w:val="nil"/>
              <w:left w:val="nil"/>
              <w:bottom w:val="single" w:sz="8" w:space="0" w:color="auto"/>
              <w:right w:val="single" w:sz="8" w:space="0" w:color="auto"/>
            </w:tcBorders>
            <w:shd w:val="clear" w:color="auto" w:fill="auto"/>
            <w:noWrap/>
            <w:vAlign w:val="center"/>
            <w:hideMark/>
          </w:tcPr>
          <w:p w:rsidR="00525FB4" w:rsidRPr="007A18DD" w:rsidRDefault="00525FB4" w:rsidP="00601306">
            <w:pPr>
              <w:spacing w:after="0" w:line="240" w:lineRule="auto"/>
              <w:jc w:val="center"/>
              <w:rPr>
                <w:rFonts w:ascii="Calibri" w:eastAsia="Times New Roman" w:hAnsi="Calibri" w:cs="Calibri"/>
                <w:sz w:val="18"/>
                <w:szCs w:val="18"/>
              </w:rPr>
            </w:pPr>
            <w:r w:rsidRPr="007A18DD">
              <w:rPr>
                <w:rFonts w:ascii="Calibri" w:eastAsia="Times New Roman" w:hAnsi="Calibri" w:cs="Calibri"/>
                <w:sz w:val="18"/>
                <w:szCs w:val="18"/>
              </w:rPr>
              <w:t>2</w:t>
            </w:r>
          </w:p>
        </w:tc>
        <w:tc>
          <w:tcPr>
            <w:tcW w:w="880" w:type="dxa"/>
            <w:tcBorders>
              <w:top w:val="nil"/>
              <w:left w:val="nil"/>
              <w:bottom w:val="single" w:sz="8" w:space="0" w:color="auto"/>
              <w:right w:val="single" w:sz="8" w:space="0" w:color="auto"/>
            </w:tcBorders>
            <w:shd w:val="clear" w:color="auto" w:fill="auto"/>
            <w:noWrap/>
            <w:vAlign w:val="center"/>
            <w:hideMark/>
          </w:tcPr>
          <w:p w:rsidR="00525FB4" w:rsidRPr="007A18DD" w:rsidRDefault="00525FB4" w:rsidP="00601306">
            <w:pPr>
              <w:spacing w:after="0" w:line="240" w:lineRule="auto"/>
              <w:jc w:val="center"/>
              <w:rPr>
                <w:rFonts w:ascii="Calibri" w:eastAsia="Times New Roman" w:hAnsi="Calibri" w:cs="Calibri"/>
                <w:sz w:val="18"/>
                <w:szCs w:val="18"/>
              </w:rPr>
            </w:pPr>
            <w:r w:rsidRPr="007A18DD">
              <w:rPr>
                <w:rFonts w:ascii="Calibri" w:eastAsia="Times New Roman" w:hAnsi="Calibri" w:cs="Calibri"/>
                <w:sz w:val="18"/>
                <w:szCs w:val="18"/>
              </w:rPr>
              <w:t>1887</w:t>
            </w:r>
          </w:p>
        </w:tc>
        <w:tc>
          <w:tcPr>
            <w:tcW w:w="729" w:type="dxa"/>
            <w:tcBorders>
              <w:top w:val="nil"/>
              <w:left w:val="nil"/>
              <w:bottom w:val="single" w:sz="8" w:space="0" w:color="auto"/>
              <w:right w:val="single" w:sz="8" w:space="0" w:color="auto"/>
            </w:tcBorders>
            <w:shd w:val="clear" w:color="auto" w:fill="auto"/>
            <w:noWrap/>
            <w:vAlign w:val="center"/>
            <w:hideMark/>
          </w:tcPr>
          <w:p w:rsidR="00525FB4" w:rsidRPr="007A18DD" w:rsidRDefault="00525FB4" w:rsidP="00601306">
            <w:pPr>
              <w:spacing w:after="0" w:line="240" w:lineRule="auto"/>
              <w:jc w:val="center"/>
              <w:rPr>
                <w:rFonts w:ascii="Calibri" w:eastAsia="Times New Roman" w:hAnsi="Calibri" w:cs="Calibri"/>
                <w:sz w:val="18"/>
                <w:szCs w:val="18"/>
              </w:rPr>
            </w:pPr>
            <w:r w:rsidRPr="007A18DD">
              <w:rPr>
                <w:rFonts w:ascii="Calibri" w:eastAsia="Times New Roman" w:hAnsi="Calibri" w:cs="Calibri"/>
                <w:sz w:val="18"/>
                <w:szCs w:val="18"/>
              </w:rPr>
              <w:t>34</w:t>
            </w:r>
          </w:p>
        </w:tc>
        <w:tc>
          <w:tcPr>
            <w:tcW w:w="786" w:type="dxa"/>
            <w:tcBorders>
              <w:top w:val="nil"/>
              <w:left w:val="nil"/>
              <w:bottom w:val="single" w:sz="8" w:space="0" w:color="auto"/>
              <w:right w:val="single" w:sz="8" w:space="0" w:color="auto"/>
            </w:tcBorders>
            <w:shd w:val="clear" w:color="auto" w:fill="auto"/>
            <w:noWrap/>
            <w:vAlign w:val="center"/>
            <w:hideMark/>
          </w:tcPr>
          <w:p w:rsidR="00525FB4" w:rsidRPr="007A18DD" w:rsidRDefault="00525FB4" w:rsidP="00601306">
            <w:pPr>
              <w:spacing w:after="0" w:line="240" w:lineRule="auto"/>
              <w:jc w:val="center"/>
              <w:rPr>
                <w:rFonts w:ascii="Calibri" w:eastAsia="Times New Roman" w:hAnsi="Calibri" w:cs="Calibri"/>
                <w:sz w:val="18"/>
                <w:szCs w:val="18"/>
              </w:rPr>
            </w:pPr>
            <w:r w:rsidRPr="007A18DD">
              <w:rPr>
                <w:rFonts w:ascii="Calibri" w:eastAsia="Times New Roman" w:hAnsi="Calibri" w:cs="Calibri"/>
                <w:sz w:val="18"/>
                <w:szCs w:val="18"/>
              </w:rPr>
              <w:t>8</w:t>
            </w:r>
          </w:p>
        </w:tc>
        <w:tc>
          <w:tcPr>
            <w:tcW w:w="729" w:type="dxa"/>
            <w:tcBorders>
              <w:top w:val="nil"/>
              <w:left w:val="nil"/>
              <w:bottom w:val="single" w:sz="8" w:space="0" w:color="auto"/>
              <w:right w:val="single" w:sz="8" w:space="0" w:color="auto"/>
            </w:tcBorders>
            <w:shd w:val="clear" w:color="auto" w:fill="auto"/>
            <w:noWrap/>
            <w:vAlign w:val="center"/>
            <w:hideMark/>
          </w:tcPr>
          <w:p w:rsidR="00525FB4" w:rsidRPr="007A18DD" w:rsidRDefault="00525FB4" w:rsidP="00601306">
            <w:pPr>
              <w:spacing w:after="0" w:line="240" w:lineRule="auto"/>
              <w:jc w:val="center"/>
              <w:rPr>
                <w:rFonts w:ascii="Calibri" w:eastAsia="Times New Roman" w:hAnsi="Calibri" w:cs="Calibri"/>
                <w:sz w:val="18"/>
                <w:szCs w:val="18"/>
              </w:rPr>
            </w:pPr>
            <w:r w:rsidRPr="007A18DD">
              <w:rPr>
                <w:rFonts w:ascii="Calibri" w:eastAsia="Times New Roman" w:hAnsi="Calibri" w:cs="Calibri"/>
                <w:sz w:val="18"/>
                <w:szCs w:val="18"/>
              </w:rPr>
              <w:t>-1</w:t>
            </w:r>
          </w:p>
        </w:tc>
        <w:tc>
          <w:tcPr>
            <w:tcW w:w="1123" w:type="dxa"/>
            <w:tcBorders>
              <w:top w:val="nil"/>
              <w:left w:val="nil"/>
              <w:bottom w:val="single" w:sz="8" w:space="0" w:color="auto"/>
              <w:right w:val="single" w:sz="8" w:space="0" w:color="auto"/>
            </w:tcBorders>
            <w:shd w:val="clear" w:color="auto" w:fill="auto"/>
            <w:noWrap/>
            <w:vAlign w:val="center"/>
            <w:hideMark/>
          </w:tcPr>
          <w:p w:rsidR="00525FB4" w:rsidRPr="007A18DD" w:rsidRDefault="00525FB4" w:rsidP="00601306">
            <w:pPr>
              <w:spacing w:after="0" w:line="240" w:lineRule="auto"/>
              <w:jc w:val="center"/>
              <w:rPr>
                <w:rFonts w:ascii="Calibri" w:eastAsia="Times New Roman" w:hAnsi="Calibri" w:cs="Calibri"/>
                <w:sz w:val="18"/>
                <w:szCs w:val="18"/>
              </w:rPr>
            </w:pPr>
            <w:r w:rsidRPr="007A18DD">
              <w:rPr>
                <w:rFonts w:ascii="Calibri" w:eastAsia="Times New Roman" w:hAnsi="Calibri" w:cs="Calibri"/>
                <w:sz w:val="18"/>
                <w:szCs w:val="18"/>
              </w:rPr>
              <w:t>39</w:t>
            </w:r>
          </w:p>
        </w:tc>
        <w:tc>
          <w:tcPr>
            <w:tcW w:w="729" w:type="dxa"/>
            <w:tcBorders>
              <w:top w:val="nil"/>
              <w:left w:val="nil"/>
              <w:bottom w:val="single" w:sz="8" w:space="0" w:color="auto"/>
              <w:right w:val="single" w:sz="8" w:space="0" w:color="auto"/>
            </w:tcBorders>
            <w:shd w:val="clear" w:color="auto" w:fill="auto"/>
            <w:noWrap/>
            <w:vAlign w:val="center"/>
            <w:hideMark/>
          </w:tcPr>
          <w:p w:rsidR="00525FB4" w:rsidRPr="007A18DD" w:rsidRDefault="00525FB4" w:rsidP="00601306">
            <w:pPr>
              <w:spacing w:after="0" w:line="240" w:lineRule="auto"/>
              <w:jc w:val="center"/>
              <w:rPr>
                <w:rFonts w:ascii="Calibri" w:eastAsia="Times New Roman" w:hAnsi="Calibri" w:cs="Calibri"/>
                <w:sz w:val="18"/>
                <w:szCs w:val="18"/>
              </w:rPr>
            </w:pPr>
            <w:r w:rsidRPr="007A18DD">
              <w:rPr>
                <w:rFonts w:ascii="Calibri" w:eastAsia="Times New Roman" w:hAnsi="Calibri" w:cs="Calibri"/>
                <w:sz w:val="18"/>
                <w:szCs w:val="18"/>
              </w:rPr>
              <w:t>-1</w:t>
            </w:r>
          </w:p>
        </w:tc>
      </w:tr>
      <w:tr w:rsidR="00525FB4" w:rsidRPr="007A18DD" w:rsidTr="00525FB4">
        <w:trPr>
          <w:trHeight w:val="315"/>
        </w:trPr>
        <w:tc>
          <w:tcPr>
            <w:tcW w:w="1707" w:type="dxa"/>
            <w:tcBorders>
              <w:top w:val="nil"/>
              <w:left w:val="single" w:sz="8" w:space="0" w:color="auto"/>
              <w:bottom w:val="single" w:sz="8" w:space="0" w:color="auto"/>
              <w:right w:val="single" w:sz="8" w:space="0" w:color="auto"/>
            </w:tcBorders>
            <w:shd w:val="clear" w:color="auto" w:fill="auto"/>
            <w:noWrap/>
            <w:vAlign w:val="center"/>
            <w:hideMark/>
          </w:tcPr>
          <w:p w:rsidR="00525FB4" w:rsidRPr="007A18DD" w:rsidRDefault="00525FB4" w:rsidP="00601306">
            <w:pPr>
              <w:spacing w:after="0" w:line="240" w:lineRule="auto"/>
              <w:jc w:val="center"/>
              <w:rPr>
                <w:rFonts w:ascii="Calibri" w:eastAsia="Times New Roman" w:hAnsi="Calibri" w:cs="Calibri"/>
                <w:sz w:val="18"/>
                <w:szCs w:val="18"/>
              </w:rPr>
            </w:pPr>
            <w:r w:rsidRPr="007A18DD">
              <w:rPr>
                <w:rFonts w:ascii="Calibri" w:eastAsia="Times New Roman" w:hAnsi="Calibri" w:cs="Calibri"/>
                <w:sz w:val="18"/>
                <w:szCs w:val="18"/>
              </w:rPr>
              <w:t>2019</w:t>
            </w:r>
          </w:p>
        </w:tc>
        <w:tc>
          <w:tcPr>
            <w:tcW w:w="1740" w:type="dxa"/>
            <w:tcBorders>
              <w:top w:val="nil"/>
              <w:left w:val="nil"/>
              <w:bottom w:val="single" w:sz="8" w:space="0" w:color="auto"/>
              <w:right w:val="single" w:sz="8" w:space="0" w:color="auto"/>
            </w:tcBorders>
            <w:shd w:val="clear" w:color="auto" w:fill="auto"/>
            <w:noWrap/>
            <w:vAlign w:val="center"/>
            <w:hideMark/>
          </w:tcPr>
          <w:p w:rsidR="00525FB4" w:rsidRPr="007A18DD" w:rsidRDefault="00525FB4" w:rsidP="00601306">
            <w:pPr>
              <w:spacing w:after="0" w:line="240" w:lineRule="auto"/>
              <w:jc w:val="center"/>
              <w:rPr>
                <w:rFonts w:ascii="Calibri" w:eastAsia="Times New Roman" w:hAnsi="Calibri" w:cs="Calibri"/>
                <w:sz w:val="18"/>
                <w:szCs w:val="18"/>
              </w:rPr>
            </w:pPr>
            <w:r w:rsidRPr="007A18DD">
              <w:rPr>
                <w:rFonts w:ascii="Calibri" w:eastAsia="Times New Roman" w:hAnsi="Calibri" w:cs="Calibri"/>
                <w:sz w:val="18"/>
                <w:szCs w:val="18"/>
              </w:rPr>
              <w:t>1789</w:t>
            </w:r>
          </w:p>
        </w:tc>
        <w:tc>
          <w:tcPr>
            <w:tcW w:w="729" w:type="dxa"/>
            <w:tcBorders>
              <w:top w:val="nil"/>
              <w:left w:val="nil"/>
              <w:bottom w:val="single" w:sz="8" w:space="0" w:color="auto"/>
              <w:right w:val="single" w:sz="8" w:space="0" w:color="auto"/>
            </w:tcBorders>
            <w:shd w:val="clear" w:color="auto" w:fill="auto"/>
            <w:noWrap/>
            <w:vAlign w:val="center"/>
            <w:hideMark/>
          </w:tcPr>
          <w:p w:rsidR="00525FB4" w:rsidRPr="007A18DD" w:rsidRDefault="00525FB4" w:rsidP="00601306">
            <w:pPr>
              <w:spacing w:after="0" w:line="240" w:lineRule="auto"/>
              <w:jc w:val="center"/>
              <w:rPr>
                <w:rFonts w:ascii="Calibri" w:eastAsia="Times New Roman" w:hAnsi="Calibri" w:cs="Calibri"/>
                <w:sz w:val="18"/>
                <w:szCs w:val="18"/>
              </w:rPr>
            </w:pPr>
            <w:r w:rsidRPr="007A18DD">
              <w:rPr>
                <w:rFonts w:ascii="Calibri" w:eastAsia="Times New Roman" w:hAnsi="Calibri" w:cs="Calibri"/>
                <w:sz w:val="18"/>
                <w:szCs w:val="18"/>
              </w:rPr>
              <w:t>2</w:t>
            </w:r>
          </w:p>
        </w:tc>
        <w:tc>
          <w:tcPr>
            <w:tcW w:w="880" w:type="dxa"/>
            <w:tcBorders>
              <w:top w:val="nil"/>
              <w:left w:val="nil"/>
              <w:bottom w:val="single" w:sz="8" w:space="0" w:color="auto"/>
              <w:right w:val="single" w:sz="8" w:space="0" w:color="auto"/>
            </w:tcBorders>
            <w:shd w:val="clear" w:color="auto" w:fill="auto"/>
            <w:noWrap/>
            <w:vAlign w:val="center"/>
            <w:hideMark/>
          </w:tcPr>
          <w:p w:rsidR="00525FB4" w:rsidRPr="007A18DD" w:rsidRDefault="00525FB4" w:rsidP="00601306">
            <w:pPr>
              <w:spacing w:after="0" w:line="240" w:lineRule="auto"/>
              <w:jc w:val="center"/>
              <w:rPr>
                <w:rFonts w:ascii="Calibri" w:eastAsia="Times New Roman" w:hAnsi="Calibri" w:cs="Calibri"/>
                <w:sz w:val="18"/>
                <w:szCs w:val="18"/>
              </w:rPr>
            </w:pPr>
            <w:r w:rsidRPr="007A18DD">
              <w:rPr>
                <w:rFonts w:ascii="Calibri" w:eastAsia="Times New Roman" w:hAnsi="Calibri" w:cs="Calibri"/>
                <w:sz w:val="18"/>
                <w:szCs w:val="18"/>
              </w:rPr>
              <w:t>1901</w:t>
            </w:r>
          </w:p>
        </w:tc>
        <w:tc>
          <w:tcPr>
            <w:tcW w:w="729" w:type="dxa"/>
            <w:tcBorders>
              <w:top w:val="nil"/>
              <w:left w:val="nil"/>
              <w:bottom w:val="single" w:sz="8" w:space="0" w:color="auto"/>
              <w:right w:val="single" w:sz="8" w:space="0" w:color="auto"/>
            </w:tcBorders>
            <w:shd w:val="clear" w:color="auto" w:fill="auto"/>
            <w:noWrap/>
            <w:vAlign w:val="center"/>
            <w:hideMark/>
          </w:tcPr>
          <w:p w:rsidR="00525FB4" w:rsidRPr="007A18DD" w:rsidRDefault="00525FB4" w:rsidP="00601306">
            <w:pPr>
              <w:spacing w:after="0" w:line="240" w:lineRule="auto"/>
              <w:jc w:val="center"/>
              <w:rPr>
                <w:rFonts w:ascii="Calibri" w:eastAsia="Times New Roman" w:hAnsi="Calibri" w:cs="Calibri"/>
                <w:sz w:val="18"/>
                <w:szCs w:val="18"/>
              </w:rPr>
            </w:pPr>
            <w:r w:rsidRPr="007A18DD">
              <w:rPr>
                <w:rFonts w:ascii="Calibri" w:eastAsia="Times New Roman" w:hAnsi="Calibri" w:cs="Calibri"/>
                <w:sz w:val="18"/>
                <w:szCs w:val="18"/>
              </w:rPr>
              <w:t>14</w:t>
            </w:r>
          </w:p>
        </w:tc>
        <w:tc>
          <w:tcPr>
            <w:tcW w:w="786" w:type="dxa"/>
            <w:tcBorders>
              <w:top w:val="nil"/>
              <w:left w:val="nil"/>
              <w:bottom w:val="single" w:sz="8" w:space="0" w:color="auto"/>
              <w:right w:val="single" w:sz="8" w:space="0" w:color="auto"/>
            </w:tcBorders>
            <w:shd w:val="clear" w:color="auto" w:fill="auto"/>
            <w:noWrap/>
            <w:vAlign w:val="center"/>
            <w:hideMark/>
          </w:tcPr>
          <w:p w:rsidR="00525FB4" w:rsidRPr="007A18DD" w:rsidRDefault="00525FB4" w:rsidP="00601306">
            <w:pPr>
              <w:spacing w:after="0" w:line="240" w:lineRule="auto"/>
              <w:jc w:val="center"/>
              <w:rPr>
                <w:rFonts w:ascii="Calibri" w:eastAsia="Times New Roman" w:hAnsi="Calibri" w:cs="Calibri"/>
                <w:sz w:val="18"/>
                <w:szCs w:val="18"/>
              </w:rPr>
            </w:pPr>
            <w:r w:rsidRPr="007A18DD">
              <w:rPr>
                <w:rFonts w:ascii="Calibri" w:eastAsia="Times New Roman" w:hAnsi="Calibri" w:cs="Calibri"/>
                <w:sz w:val="18"/>
                <w:szCs w:val="18"/>
              </w:rPr>
              <w:t>10*</w:t>
            </w:r>
          </w:p>
        </w:tc>
        <w:tc>
          <w:tcPr>
            <w:tcW w:w="729" w:type="dxa"/>
            <w:tcBorders>
              <w:top w:val="nil"/>
              <w:left w:val="nil"/>
              <w:bottom w:val="single" w:sz="8" w:space="0" w:color="auto"/>
              <w:right w:val="single" w:sz="8" w:space="0" w:color="auto"/>
            </w:tcBorders>
            <w:shd w:val="clear" w:color="auto" w:fill="auto"/>
            <w:noWrap/>
            <w:vAlign w:val="center"/>
            <w:hideMark/>
          </w:tcPr>
          <w:p w:rsidR="00525FB4" w:rsidRPr="007A18DD" w:rsidRDefault="00525FB4" w:rsidP="00601306">
            <w:pPr>
              <w:spacing w:after="0" w:line="240" w:lineRule="auto"/>
              <w:jc w:val="center"/>
              <w:rPr>
                <w:rFonts w:ascii="Calibri" w:eastAsia="Times New Roman" w:hAnsi="Calibri" w:cs="Calibri"/>
                <w:sz w:val="18"/>
                <w:szCs w:val="18"/>
              </w:rPr>
            </w:pPr>
            <w:r w:rsidRPr="007A18DD">
              <w:rPr>
                <w:rFonts w:ascii="Calibri" w:eastAsia="Times New Roman" w:hAnsi="Calibri" w:cs="Calibri"/>
                <w:sz w:val="18"/>
                <w:szCs w:val="18"/>
              </w:rPr>
              <w:t>2</w:t>
            </w:r>
          </w:p>
        </w:tc>
        <w:tc>
          <w:tcPr>
            <w:tcW w:w="1123" w:type="dxa"/>
            <w:tcBorders>
              <w:top w:val="nil"/>
              <w:left w:val="nil"/>
              <w:bottom w:val="single" w:sz="8" w:space="0" w:color="auto"/>
              <w:right w:val="single" w:sz="8" w:space="0" w:color="auto"/>
            </w:tcBorders>
            <w:shd w:val="clear" w:color="auto" w:fill="auto"/>
            <w:noWrap/>
            <w:vAlign w:val="center"/>
            <w:hideMark/>
          </w:tcPr>
          <w:p w:rsidR="00525FB4" w:rsidRPr="007A18DD" w:rsidRDefault="00525FB4" w:rsidP="00601306">
            <w:pPr>
              <w:spacing w:after="0" w:line="240" w:lineRule="auto"/>
              <w:jc w:val="center"/>
              <w:rPr>
                <w:rFonts w:ascii="Calibri" w:eastAsia="Times New Roman" w:hAnsi="Calibri" w:cs="Calibri"/>
                <w:sz w:val="18"/>
                <w:szCs w:val="18"/>
              </w:rPr>
            </w:pPr>
            <w:r w:rsidRPr="007A18DD">
              <w:rPr>
                <w:rFonts w:ascii="Calibri" w:eastAsia="Times New Roman" w:hAnsi="Calibri" w:cs="Calibri"/>
                <w:sz w:val="18"/>
                <w:szCs w:val="18"/>
              </w:rPr>
              <w:t>37</w:t>
            </w:r>
          </w:p>
        </w:tc>
        <w:tc>
          <w:tcPr>
            <w:tcW w:w="729" w:type="dxa"/>
            <w:tcBorders>
              <w:top w:val="nil"/>
              <w:left w:val="nil"/>
              <w:bottom w:val="single" w:sz="8" w:space="0" w:color="auto"/>
              <w:right w:val="single" w:sz="8" w:space="0" w:color="auto"/>
            </w:tcBorders>
            <w:shd w:val="clear" w:color="auto" w:fill="auto"/>
            <w:noWrap/>
            <w:vAlign w:val="center"/>
            <w:hideMark/>
          </w:tcPr>
          <w:p w:rsidR="00525FB4" w:rsidRPr="007A18DD" w:rsidRDefault="00525FB4" w:rsidP="00601306">
            <w:pPr>
              <w:spacing w:after="0" w:line="240" w:lineRule="auto"/>
              <w:jc w:val="center"/>
              <w:rPr>
                <w:rFonts w:ascii="Calibri" w:eastAsia="Times New Roman" w:hAnsi="Calibri" w:cs="Calibri"/>
                <w:sz w:val="18"/>
                <w:szCs w:val="18"/>
              </w:rPr>
            </w:pPr>
            <w:r w:rsidRPr="007A18DD">
              <w:rPr>
                <w:rFonts w:ascii="Calibri" w:eastAsia="Times New Roman" w:hAnsi="Calibri" w:cs="Calibri"/>
                <w:sz w:val="18"/>
                <w:szCs w:val="18"/>
              </w:rPr>
              <w:t>-2</w:t>
            </w:r>
          </w:p>
        </w:tc>
      </w:tr>
      <w:tr w:rsidR="00525FB4" w:rsidRPr="007A18DD" w:rsidTr="00525FB4">
        <w:trPr>
          <w:trHeight w:val="315"/>
        </w:trPr>
        <w:tc>
          <w:tcPr>
            <w:tcW w:w="1707" w:type="dxa"/>
            <w:tcBorders>
              <w:top w:val="nil"/>
              <w:left w:val="single" w:sz="8" w:space="0" w:color="auto"/>
              <w:bottom w:val="single" w:sz="8" w:space="0" w:color="auto"/>
              <w:right w:val="single" w:sz="8" w:space="0" w:color="auto"/>
            </w:tcBorders>
            <w:shd w:val="clear" w:color="auto" w:fill="auto"/>
            <w:noWrap/>
            <w:vAlign w:val="center"/>
            <w:hideMark/>
          </w:tcPr>
          <w:p w:rsidR="00525FB4" w:rsidRPr="007A18DD" w:rsidRDefault="00525FB4" w:rsidP="00601306">
            <w:pPr>
              <w:spacing w:after="0" w:line="240" w:lineRule="auto"/>
              <w:jc w:val="center"/>
              <w:rPr>
                <w:rFonts w:ascii="Calibri" w:eastAsia="Times New Roman" w:hAnsi="Calibri" w:cs="Calibri"/>
                <w:sz w:val="18"/>
                <w:szCs w:val="18"/>
              </w:rPr>
            </w:pPr>
            <w:r w:rsidRPr="007A18DD">
              <w:rPr>
                <w:rFonts w:ascii="Calibri" w:eastAsia="Times New Roman" w:hAnsi="Calibri" w:cs="Calibri"/>
                <w:sz w:val="18"/>
                <w:szCs w:val="18"/>
              </w:rPr>
              <w:t>2020</w:t>
            </w:r>
          </w:p>
        </w:tc>
        <w:tc>
          <w:tcPr>
            <w:tcW w:w="1740" w:type="dxa"/>
            <w:tcBorders>
              <w:top w:val="nil"/>
              <w:left w:val="nil"/>
              <w:bottom w:val="single" w:sz="8" w:space="0" w:color="auto"/>
              <w:right w:val="single" w:sz="8" w:space="0" w:color="auto"/>
            </w:tcBorders>
            <w:shd w:val="clear" w:color="auto" w:fill="auto"/>
            <w:noWrap/>
            <w:vAlign w:val="center"/>
            <w:hideMark/>
          </w:tcPr>
          <w:p w:rsidR="00525FB4" w:rsidRPr="007A18DD" w:rsidRDefault="00525FB4" w:rsidP="00601306">
            <w:pPr>
              <w:spacing w:after="0" w:line="240" w:lineRule="auto"/>
              <w:jc w:val="center"/>
              <w:rPr>
                <w:rFonts w:ascii="Calibri" w:eastAsia="Times New Roman" w:hAnsi="Calibri" w:cs="Calibri"/>
                <w:sz w:val="18"/>
                <w:szCs w:val="18"/>
              </w:rPr>
            </w:pPr>
            <w:r w:rsidRPr="007A18DD">
              <w:rPr>
                <w:rFonts w:ascii="Calibri" w:eastAsia="Times New Roman" w:hAnsi="Calibri" w:cs="Calibri"/>
                <w:sz w:val="18"/>
                <w:szCs w:val="18"/>
              </w:rPr>
              <w:t>1841</w:t>
            </w:r>
          </w:p>
        </w:tc>
        <w:tc>
          <w:tcPr>
            <w:tcW w:w="729" w:type="dxa"/>
            <w:tcBorders>
              <w:top w:val="nil"/>
              <w:left w:val="nil"/>
              <w:bottom w:val="single" w:sz="8" w:space="0" w:color="auto"/>
              <w:right w:val="single" w:sz="8" w:space="0" w:color="auto"/>
            </w:tcBorders>
            <w:shd w:val="clear" w:color="auto" w:fill="auto"/>
            <w:noWrap/>
            <w:vAlign w:val="center"/>
            <w:hideMark/>
          </w:tcPr>
          <w:p w:rsidR="00525FB4" w:rsidRPr="007A18DD" w:rsidRDefault="00525FB4" w:rsidP="00601306">
            <w:pPr>
              <w:spacing w:after="0" w:line="240" w:lineRule="auto"/>
              <w:jc w:val="center"/>
              <w:rPr>
                <w:rFonts w:ascii="Calibri" w:eastAsia="Times New Roman" w:hAnsi="Calibri" w:cs="Calibri"/>
                <w:sz w:val="18"/>
                <w:szCs w:val="18"/>
              </w:rPr>
            </w:pPr>
            <w:r w:rsidRPr="007A18DD">
              <w:rPr>
                <w:rFonts w:ascii="Calibri" w:eastAsia="Times New Roman" w:hAnsi="Calibri" w:cs="Calibri"/>
                <w:sz w:val="18"/>
                <w:szCs w:val="18"/>
              </w:rPr>
              <w:t>52</w:t>
            </w:r>
          </w:p>
        </w:tc>
        <w:tc>
          <w:tcPr>
            <w:tcW w:w="880" w:type="dxa"/>
            <w:tcBorders>
              <w:top w:val="nil"/>
              <w:left w:val="nil"/>
              <w:bottom w:val="single" w:sz="8" w:space="0" w:color="auto"/>
              <w:right w:val="single" w:sz="8" w:space="0" w:color="auto"/>
            </w:tcBorders>
            <w:shd w:val="clear" w:color="auto" w:fill="auto"/>
            <w:noWrap/>
            <w:vAlign w:val="center"/>
            <w:hideMark/>
          </w:tcPr>
          <w:p w:rsidR="00525FB4" w:rsidRPr="007A18DD" w:rsidRDefault="00525FB4" w:rsidP="00601306">
            <w:pPr>
              <w:spacing w:after="0" w:line="240" w:lineRule="auto"/>
              <w:jc w:val="center"/>
              <w:rPr>
                <w:rFonts w:ascii="Calibri" w:eastAsia="Times New Roman" w:hAnsi="Calibri" w:cs="Calibri"/>
                <w:sz w:val="18"/>
                <w:szCs w:val="18"/>
              </w:rPr>
            </w:pPr>
            <w:r w:rsidRPr="007A18DD">
              <w:rPr>
                <w:rFonts w:ascii="Calibri" w:eastAsia="Times New Roman" w:hAnsi="Calibri" w:cs="Calibri"/>
                <w:sz w:val="18"/>
                <w:szCs w:val="18"/>
              </w:rPr>
              <w:t>1926</w:t>
            </w:r>
          </w:p>
        </w:tc>
        <w:tc>
          <w:tcPr>
            <w:tcW w:w="729" w:type="dxa"/>
            <w:tcBorders>
              <w:top w:val="nil"/>
              <w:left w:val="nil"/>
              <w:bottom w:val="single" w:sz="8" w:space="0" w:color="auto"/>
              <w:right w:val="single" w:sz="8" w:space="0" w:color="auto"/>
            </w:tcBorders>
            <w:shd w:val="clear" w:color="auto" w:fill="auto"/>
            <w:noWrap/>
            <w:vAlign w:val="center"/>
            <w:hideMark/>
          </w:tcPr>
          <w:p w:rsidR="00525FB4" w:rsidRPr="007A18DD" w:rsidRDefault="00525FB4" w:rsidP="00601306">
            <w:pPr>
              <w:spacing w:after="0" w:line="240" w:lineRule="auto"/>
              <w:jc w:val="center"/>
              <w:rPr>
                <w:rFonts w:ascii="Calibri" w:eastAsia="Times New Roman" w:hAnsi="Calibri" w:cs="Calibri"/>
                <w:sz w:val="18"/>
                <w:szCs w:val="18"/>
              </w:rPr>
            </w:pPr>
            <w:r w:rsidRPr="007A18DD">
              <w:rPr>
                <w:rFonts w:ascii="Calibri" w:eastAsia="Times New Roman" w:hAnsi="Calibri" w:cs="Calibri"/>
                <w:sz w:val="18"/>
                <w:szCs w:val="18"/>
              </w:rPr>
              <w:t>25</w:t>
            </w:r>
          </w:p>
        </w:tc>
        <w:tc>
          <w:tcPr>
            <w:tcW w:w="786" w:type="dxa"/>
            <w:tcBorders>
              <w:top w:val="nil"/>
              <w:left w:val="nil"/>
              <w:bottom w:val="single" w:sz="8" w:space="0" w:color="auto"/>
              <w:right w:val="single" w:sz="8" w:space="0" w:color="auto"/>
            </w:tcBorders>
            <w:shd w:val="clear" w:color="auto" w:fill="auto"/>
            <w:noWrap/>
            <w:vAlign w:val="center"/>
            <w:hideMark/>
          </w:tcPr>
          <w:p w:rsidR="00525FB4" w:rsidRPr="007A18DD" w:rsidRDefault="00525FB4" w:rsidP="00601306">
            <w:pPr>
              <w:spacing w:after="0" w:line="240" w:lineRule="auto"/>
              <w:jc w:val="center"/>
              <w:rPr>
                <w:rFonts w:ascii="Calibri" w:eastAsia="Times New Roman" w:hAnsi="Calibri" w:cs="Calibri"/>
                <w:sz w:val="18"/>
                <w:szCs w:val="18"/>
              </w:rPr>
            </w:pPr>
            <w:r w:rsidRPr="007A18DD">
              <w:rPr>
                <w:rFonts w:ascii="Calibri" w:eastAsia="Times New Roman" w:hAnsi="Calibri" w:cs="Calibri"/>
                <w:sz w:val="18"/>
                <w:szCs w:val="18"/>
              </w:rPr>
              <w:t>9*</w:t>
            </w:r>
          </w:p>
        </w:tc>
        <w:tc>
          <w:tcPr>
            <w:tcW w:w="729" w:type="dxa"/>
            <w:tcBorders>
              <w:top w:val="nil"/>
              <w:left w:val="nil"/>
              <w:bottom w:val="single" w:sz="8" w:space="0" w:color="auto"/>
              <w:right w:val="single" w:sz="8" w:space="0" w:color="auto"/>
            </w:tcBorders>
            <w:shd w:val="clear" w:color="auto" w:fill="auto"/>
            <w:noWrap/>
            <w:vAlign w:val="center"/>
            <w:hideMark/>
          </w:tcPr>
          <w:p w:rsidR="00525FB4" w:rsidRPr="007A18DD" w:rsidRDefault="00525FB4" w:rsidP="00601306">
            <w:pPr>
              <w:spacing w:after="0" w:line="240" w:lineRule="auto"/>
              <w:jc w:val="center"/>
              <w:rPr>
                <w:rFonts w:ascii="Calibri" w:eastAsia="Times New Roman" w:hAnsi="Calibri" w:cs="Calibri"/>
                <w:sz w:val="18"/>
                <w:szCs w:val="18"/>
              </w:rPr>
            </w:pPr>
            <w:r w:rsidRPr="007A18DD">
              <w:rPr>
                <w:rFonts w:ascii="Calibri" w:eastAsia="Times New Roman" w:hAnsi="Calibri" w:cs="Calibri"/>
                <w:sz w:val="18"/>
                <w:szCs w:val="18"/>
              </w:rPr>
              <w:t>-1</w:t>
            </w:r>
          </w:p>
        </w:tc>
        <w:tc>
          <w:tcPr>
            <w:tcW w:w="1123" w:type="dxa"/>
            <w:tcBorders>
              <w:top w:val="nil"/>
              <w:left w:val="nil"/>
              <w:bottom w:val="single" w:sz="8" w:space="0" w:color="auto"/>
              <w:right w:val="single" w:sz="8" w:space="0" w:color="auto"/>
            </w:tcBorders>
            <w:shd w:val="clear" w:color="auto" w:fill="auto"/>
            <w:noWrap/>
            <w:vAlign w:val="center"/>
            <w:hideMark/>
          </w:tcPr>
          <w:p w:rsidR="00525FB4" w:rsidRPr="007A18DD" w:rsidRDefault="00525FB4" w:rsidP="00601306">
            <w:pPr>
              <w:spacing w:after="0" w:line="240" w:lineRule="auto"/>
              <w:jc w:val="center"/>
              <w:rPr>
                <w:rFonts w:ascii="Calibri" w:eastAsia="Times New Roman" w:hAnsi="Calibri" w:cs="Calibri"/>
                <w:sz w:val="18"/>
                <w:szCs w:val="18"/>
              </w:rPr>
            </w:pPr>
            <w:r w:rsidRPr="007A18DD">
              <w:rPr>
                <w:rFonts w:ascii="Calibri" w:eastAsia="Times New Roman" w:hAnsi="Calibri" w:cs="Calibri"/>
                <w:sz w:val="18"/>
                <w:szCs w:val="18"/>
              </w:rPr>
              <w:t>36</w:t>
            </w:r>
          </w:p>
        </w:tc>
        <w:tc>
          <w:tcPr>
            <w:tcW w:w="729" w:type="dxa"/>
            <w:tcBorders>
              <w:top w:val="nil"/>
              <w:left w:val="nil"/>
              <w:bottom w:val="single" w:sz="8" w:space="0" w:color="auto"/>
              <w:right w:val="single" w:sz="8" w:space="0" w:color="auto"/>
            </w:tcBorders>
            <w:shd w:val="clear" w:color="auto" w:fill="auto"/>
            <w:noWrap/>
            <w:vAlign w:val="center"/>
            <w:hideMark/>
          </w:tcPr>
          <w:p w:rsidR="00525FB4" w:rsidRPr="007A18DD" w:rsidRDefault="00525FB4" w:rsidP="00601306">
            <w:pPr>
              <w:spacing w:after="0" w:line="240" w:lineRule="auto"/>
              <w:jc w:val="center"/>
              <w:rPr>
                <w:rFonts w:ascii="Calibri" w:eastAsia="Times New Roman" w:hAnsi="Calibri" w:cs="Calibri"/>
                <w:sz w:val="18"/>
                <w:szCs w:val="18"/>
              </w:rPr>
            </w:pPr>
            <w:r w:rsidRPr="007A18DD">
              <w:rPr>
                <w:rFonts w:ascii="Calibri" w:eastAsia="Times New Roman" w:hAnsi="Calibri" w:cs="Calibri"/>
                <w:sz w:val="18"/>
                <w:szCs w:val="18"/>
              </w:rPr>
              <w:t>-1</w:t>
            </w:r>
          </w:p>
        </w:tc>
      </w:tr>
    </w:tbl>
    <w:p w:rsidR="00525FB4" w:rsidRPr="00525FB4" w:rsidRDefault="00525FB4" w:rsidP="00525FB4">
      <w:pPr>
        <w:spacing w:after="0" w:line="240" w:lineRule="auto"/>
        <w:jc w:val="both"/>
        <w:rPr>
          <w:i/>
        </w:rPr>
      </w:pPr>
      <w:r w:rsidRPr="00525FB4">
        <w:rPr>
          <w:i/>
        </w:rPr>
        <w:t>*Comprende una posizione di dirigente a tempo determinato + il D</w:t>
      </w:r>
      <w:r w:rsidR="002455A7">
        <w:rPr>
          <w:i/>
        </w:rPr>
        <w:t xml:space="preserve">irettore </w:t>
      </w:r>
      <w:r w:rsidRPr="00525FB4">
        <w:rPr>
          <w:i/>
        </w:rPr>
        <w:t>G</w:t>
      </w:r>
      <w:r w:rsidR="002455A7">
        <w:rPr>
          <w:i/>
        </w:rPr>
        <w:t>enerale</w:t>
      </w:r>
      <w:r w:rsidRPr="00525FB4">
        <w:rPr>
          <w:i/>
        </w:rPr>
        <w:t>.</w:t>
      </w:r>
    </w:p>
    <w:p w:rsidR="00525FB4" w:rsidRDefault="00525FB4" w:rsidP="006B4426">
      <w:pPr>
        <w:spacing w:after="0" w:line="240" w:lineRule="auto"/>
        <w:jc w:val="both"/>
        <w:rPr>
          <w:highlight w:val="yellow"/>
        </w:rPr>
      </w:pPr>
    </w:p>
    <w:p w:rsidR="006B4426" w:rsidRPr="00E03E57" w:rsidRDefault="006B4426" w:rsidP="006B4426">
      <w:pPr>
        <w:spacing w:after="0" w:line="240" w:lineRule="auto"/>
        <w:jc w:val="both"/>
        <w:rPr>
          <w:color w:val="auto"/>
        </w:rPr>
      </w:pPr>
      <w:r w:rsidRPr="00E03E57">
        <w:rPr>
          <w:color w:val="auto"/>
        </w:rPr>
        <w:t>Per quanto riguarda il personale docente si rileva un incremento complessivo</w:t>
      </w:r>
      <w:r w:rsidR="00525FB4" w:rsidRPr="00E03E57">
        <w:rPr>
          <w:color w:val="auto"/>
        </w:rPr>
        <w:t xml:space="preserve"> (+52 rispetto al 2019)</w:t>
      </w:r>
      <w:r w:rsidRPr="00E03E57">
        <w:rPr>
          <w:color w:val="auto"/>
        </w:rPr>
        <w:t>, caratterizzato da un aumen</w:t>
      </w:r>
      <w:r w:rsidR="002455A7" w:rsidRPr="00E03E57">
        <w:rPr>
          <w:color w:val="auto"/>
        </w:rPr>
        <w:t>to dei professori associati (+96</w:t>
      </w:r>
      <w:r w:rsidRPr="00E03E57">
        <w:rPr>
          <w:color w:val="auto"/>
        </w:rPr>
        <w:t>), dei professori ordinari (+</w:t>
      </w:r>
      <w:r w:rsidR="002455A7" w:rsidRPr="00E03E57">
        <w:rPr>
          <w:color w:val="auto"/>
        </w:rPr>
        <w:t>29</w:t>
      </w:r>
      <w:r w:rsidRPr="00E03E57">
        <w:rPr>
          <w:color w:val="auto"/>
        </w:rPr>
        <w:t xml:space="preserve">) e chiaramente </w:t>
      </w:r>
      <w:r w:rsidR="002455A7" w:rsidRPr="00E03E57">
        <w:rPr>
          <w:color w:val="auto"/>
        </w:rPr>
        <w:t xml:space="preserve">(in quanto figura ad esaurimento per legge) </w:t>
      </w:r>
      <w:r w:rsidRPr="00E03E57">
        <w:rPr>
          <w:color w:val="auto"/>
        </w:rPr>
        <w:t>una riduzione dei ricerc</w:t>
      </w:r>
      <w:r w:rsidR="002455A7" w:rsidRPr="00E03E57">
        <w:rPr>
          <w:color w:val="auto"/>
        </w:rPr>
        <w:t>atori a tempo indeterminato (-73</w:t>
      </w:r>
      <w:r w:rsidRPr="00E03E57">
        <w:rPr>
          <w:color w:val="auto"/>
        </w:rPr>
        <w:t>).</w:t>
      </w:r>
    </w:p>
    <w:p w:rsidR="002455A7" w:rsidRPr="00E03E57" w:rsidRDefault="002455A7" w:rsidP="006B4426">
      <w:pPr>
        <w:spacing w:after="0" w:line="240" w:lineRule="auto"/>
        <w:jc w:val="both"/>
        <w:rPr>
          <w:color w:val="auto"/>
        </w:rPr>
      </w:pPr>
      <w:r w:rsidRPr="00E03E57">
        <w:rPr>
          <w:color w:val="auto"/>
        </w:rPr>
        <w:t>L’incremento del personale TAB è stato invece molto più contenuto (+25)</w:t>
      </w:r>
      <w:r w:rsidR="00F12774" w:rsidRPr="00E03E57">
        <w:rPr>
          <w:color w:val="auto"/>
        </w:rPr>
        <w:t>: 120 assunz</w:t>
      </w:r>
      <w:r w:rsidR="00E41928" w:rsidRPr="00E03E57">
        <w:rPr>
          <w:color w:val="auto"/>
        </w:rPr>
        <w:t>ioni</w:t>
      </w:r>
      <w:r w:rsidR="00F12774" w:rsidRPr="00E03E57">
        <w:rPr>
          <w:color w:val="auto"/>
        </w:rPr>
        <w:t xml:space="preserve"> a fronte di 93 cessazioni </w:t>
      </w:r>
      <w:r w:rsidR="00F12774" w:rsidRPr="00E03E57">
        <w:rPr>
          <w:i/>
          <w:color w:val="auto"/>
        </w:rPr>
        <w:t>(ndr. nelle tabelle c’è una discrepanza)</w:t>
      </w:r>
      <w:r w:rsidRPr="00E03E57">
        <w:rPr>
          <w:color w:val="auto"/>
        </w:rPr>
        <w:t>.</w:t>
      </w:r>
    </w:p>
    <w:p w:rsidR="006B4426" w:rsidRPr="008204CC" w:rsidRDefault="002455A7" w:rsidP="006B4426">
      <w:pPr>
        <w:spacing w:after="0" w:line="240" w:lineRule="auto"/>
        <w:jc w:val="both"/>
        <w:rPr>
          <w:i/>
          <w:color w:val="C00000"/>
        </w:rPr>
      </w:pPr>
      <w:r w:rsidRPr="008204CC">
        <w:rPr>
          <w:i/>
          <w:color w:val="C00000"/>
        </w:rPr>
        <w:t>Commento. L’aumento di organico del personale docente è stato pertanto superiore di oltre il doppio di quello del personal</w:t>
      </w:r>
      <w:r w:rsidR="00E41928" w:rsidRPr="008204CC">
        <w:rPr>
          <w:i/>
          <w:color w:val="C00000"/>
        </w:rPr>
        <w:t>e T</w:t>
      </w:r>
      <w:r w:rsidR="00A37246">
        <w:rPr>
          <w:i/>
          <w:color w:val="C00000"/>
        </w:rPr>
        <w:t>.</w:t>
      </w:r>
      <w:r w:rsidR="00E41928" w:rsidRPr="008204CC">
        <w:rPr>
          <w:i/>
          <w:color w:val="C00000"/>
        </w:rPr>
        <w:t>A</w:t>
      </w:r>
      <w:r w:rsidR="00A37246">
        <w:rPr>
          <w:i/>
          <w:color w:val="C00000"/>
        </w:rPr>
        <w:t>.</w:t>
      </w:r>
      <w:r w:rsidR="00E41928" w:rsidRPr="008204CC">
        <w:rPr>
          <w:i/>
          <w:color w:val="C00000"/>
        </w:rPr>
        <w:t>B. Questo nonostante i punti organico dei T</w:t>
      </w:r>
      <w:r w:rsidR="00A37246">
        <w:rPr>
          <w:i/>
          <w:color w:val="C00000"/>
        </w:rPr>
        <w:t>.</w:t>
      </w:r>
      <w:r w:rsidR="00E41928" w:rsidRPr="008204CC">
        <w:rPr>
          <w:i/>
          <w:color w:val="C00000"/>
        </w:rPr>
        <w:t>A</w:t>
      </w:r>
      <w:r w:rsidR="00A37246">
        <w:rPr>
          <w:i/>
          <w:color w:val="C00000"/>
        </w:rPr>
        <w:t>.</w:t>
      </w:r>
      <w:r w:rsidR="00E41928" w:rsidRPr="008204CC">
        <w:rPr>
          <w:i/>
          <w:color w:val="C00000"/>
        </w:rPr>
        <w:t>B</w:t>
      </w:r>
      <w:r w:rsidR="00A37246">
        <w:rPr>
          <w:i/>
          <w:color w:val="C00000"/>
        </w:rPr>
        <w:t>.</w:t>
      </w:r>
      <w:r w:rsidR="00E41928" w:rsidRPr="008204CC">
        <w:rPr>
          <w:i/>
          <w:color w:val="C00000"/>
        </w:rPr>
        <w:t xml:space="preserve"> siano stati interamente impiegati e non ci siano pertanto resti</w:t>
      </w:r>
      <w:r w:rsidRPr="008204CC">
        <w:rPr>
          <w:i/>
          <w:color w:val="C00000"/>
        </w:rPr>
        <w:t>.</w:t>
      </w:r>
      <w:r w:rsidR="00A4586A">
        <w:rPr>
          <w:i/>
          <w:color w:val="C00000"/>
        </w:rPr>
        <w:t xml:space="preserve"> Il dato è determinato dai ritardi nell’espletamento dei concorsi del personale T</w:t>
      </w:r>
      <w:r w:rsidR="00A37246">
        <w:rPr>
          <w:i/>
          <w:color w:val="C00000"/>
        </w:rPr>
        <w:t>.</w:t>
      </w:r>
      <w:r w:rsidR="00A4586A">
        <w:rPr>
          <w:i/>
          <w:color w:val="C00000"/>
        </w:rPr>
        <w:t>A</w:t>
      </w:r>
      <w:r w:rsidR="00A37246">
        <w:rPr>
          <w:i/>
          <w:color w:val="C00000"/>
        </w:rPr>
        <w:t>.</w:t>
      </w:r>
      <w:r w:rsidR="00A4586A">
        <w:rPr>
          <w:i/>
          <w:color w:val="C00000"/>
        </w:rPr>
        <w:t>B</w:t>
      </w:r>
      <w:r w:rsidR="00A37246">
        <w:rPr>
          <w:i/>
          <w:color w:val="C00000"/>
        </w:rPr>
        <w:t>.</w:t>
      </w:r>
      <w:r w:rsidR="00A4586A">
        <w:rPr>
          <w:i/>
          <w:color w:val="C00000"/>
        </w:rPr>
        <w:t xml:space="preserve"> (di posti già deliberati dal C</w:t>
      </w:r>
      <w:r w:rsidR="00A37246">
        <w:rPr>
          <w:i/>
          <w:color w:val="C00000"/>
        </w:rPr>
        <w:t>.</w:t>
      </w:r>
      <w:r w:rsidR="00A4586A">
        <w:rPr>
          <w:i/>
          <w:color w:val="C00000"/>
        </w:rPr>
        <w:t>d</w:t>
      </w:r>
      <w:r w:rsidR="00A37246">
        <w:rPr>
          <w:i/>
          <w:color w:val="C00000"/>
        </w:rPr>
        <w:t>.</w:t>
      </w:r>
      <w:r w:rsidR="00A4586A">
        <w:rPr>
          <w:i/>
          <w:color w:val="C00000"/>
        </w:rPr>
        <w:t>A</w:t>
      </w:r>
      <w:r w:rsidR="00A37246">
        <w:rPr>
          <w:i/>
          <w:color w:val="C00000"/>
        </w:rPr>
        <w:t>.</w:t>
      </w:r>
      <w:r w:rsidR="00A4586A">
        <w:rPr>
          <w:i/>
          <w:color w:val="C00000"/>
        </w:rPr>
        <w:t>).</w:t>
      </w:r>
    </w:p>
    <w:p w:rsidR="008249BA" w:rsidRPr="002455A7" w:rsidRDefault="009271FA" w:rsidP="008249BA">
      <w:pPr>
        <w:spacing w:before="240" w:after="120" w:line="240" w:lineRule="auto"/>
        <w:jc w:val="both"/>
        <w:rPr>
          <w:rFonts w:asciiTheme="minorHAnsi" w:hAnsiTheme="minorHAnsi" w:cstheme="minorHAnsi"/>
          <w:b/>
          <w:sz w:val="22"/>
          <w:lang w:eastAsia="en-US"/>
        </w:rPr>
      </w:pPr>
      <w:r w:rsidRPr="002455A7">
        <w:rPr>
          <w:rFonts w:cstheme="minorHAnsi"/>
          <w:b/>
        </w:rPr>
        <w:t>C</w:t>
      </w:r>
      <w:r w:rsidR="00C42FAE" w:rsidRPr="002455A7">
        <w:rPr>
          <w:rFonts w:cstheme="minorHAnsi"/>
          <w:b/>
        </w:rPr>
        <w:t xml:space="preserve">) </w:t>
      </w:r>
      <w:r w:rsidR="008249BA" w:rsidRPr="002455A7">
        <w:rPr>
          <w:rFonts w:cstheme="minorHAnsi"/>
          <w:b/>
        </w:rPr>
        <w:t>Personale a tempo determinato</w:t>
      </w:r>
    </w:p>
    <w:tbl>
      <w:tblPr>
        <w:tblW w:w="4800" w:type="dxa"/>
        <w:jc w:val="center"/>
        <w:tblCellMar>
          <w:left w:w="70" w:type="dxa"/>
          <w:right w:w="70" w:type="dxa"/>
        </w:tblCellMar>
        <w:tblLook w:val="04A0" w:firstRow="1" w:lastRow="0" w:firstColumn="1" w:lastColumn="0" w:noHBand="0" w:noVBand="1"/>
      </w:tblPr>
      <w:tblGrid>
        <w:gridCol w:w="960"/>
        <w:gridCol w:w="996"/>
        <w:gridCol w:w="960"/>
        <w:gridCol w:w="960"/>
        <w:gridCol w:w="960"/>
      </w:tblGrid>
      <w:tr w:rsidR="002455A7" w:rsidRPr="00E156A2" w:rsidTr="00601306">
        <w:trPr>
          <w:trHeight w:val="810"/>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455A7" w:rsidRPr="00E156A2" w:rsidRDefault="002455A7" w:rsidP="00601306">
            <w:pPr>
              <w:spacing w:after="0" w:line="240" w:lineRule="auto"/>
              <w:jc w:val="center"/>
              <w:rPr>
                <w:rFonts w:ascii="Trebuchet MS" w:eastAsia="Times New Roman" w:hAnsi="Trebuchet MS" w:cs="Calibri"/>
                <w:b/>
                <w:bCs/>
                <w:sz w:val="16"/>
                <w:szCs w:val="16"/>
              </w:rPr>
            </w:pPr>
            <w:r w:rsidRPr="00E156A2">
              <w:rPr>
                <w:rFonts w:ascii="Trebuchet MS" w:eastAsia="Times New Roman" w:hAnsi="Trebuchet MS" w:cs="Calibri"/>
                <w:b/>
                <w:bCs/>
                <w:sz w:val="16"/>
                <w:szCs w:val="16"/>
              </w:rPr>
              <w:t>Anno</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2455A7" w:rsidRPr="00E156A2" w:rsidRDefault="002455A7" w:rsidP="00601306">
            <w:pPr>
              <w:spacing w:after="0" w:line="240" w:lineRule="auto"/>
              <w:rPr>
                <w:rFonts w:ascii="Trebuchet MS" w:eastAsia="Times New Roman" w:hAnsi="Trebuchet MS" w:cs="Calibri"/>
                <w:b/>
                <w:bCs/>
                <w:sz w:val="16"/>
                <w:szCs w:val="16"/>
              </w:rPr>
            </w:pPr>
            <w:r w:rsidRPr="00E156A2">
              <w:rPr>
                <w:rFonts w:ascii="Trebuchet MS" w:eastAsia="Times New Roman" w:hAnsi="Trebuchet MS" w:cs="Calibri"/>
                <w:b/>
                <w:bCs/>
                <w:sz w:val="16"/>
                <w:szCs w:val="16"/>
              </w:rPr>
              <w:t>RTDA/RTDB</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2455A7" w:rsidRPr="00E156A2" w:rsidRDefault="002455A7" w:rsidP="00601306">
            <w:pPr>
              <w:spacing w:after="0" w:line="240" w:lineRule="auto"/>
              <w:rPr>
                <w:rFonts w:ascii="Trebuchet MS" w:eastAsia="Times New Roman" w:hAnsi="Trebuchet MS" w:cs="Calibri"/>
                <w:b/>
                <w:bCs/>
                <w:sz w:val="16"/>
                <w:szCs w:val="16"/>
              </w:rPr>
            </w:pPr>
            <w:r w:rsidRPr="00E156A2">
              <w:rPr>
                <w:rFonts w:ascii="Trebuchet MS" w:eastAsia="Times New Roman" w:hAnsi="Trebuchet MS" w:cs="Calibri"/>
                <w:b/>
                <w:bCs/>
                <w:sz w:val="16"/>
                <w:szCs w:val="16"/>
              </w:rPr>
              <w:t>∆ rispetto anno prec.</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2455A7" w:rsidRPr="00E156A2" w:rsidRDefault="002455A7" w:rsidP="00601306">
            <w:pPr>
              <w:spacing w:after="0" w:line="240" w:lineRule="auto"/>
              <w:rPr>
                <w:rFonts w:ascii="Trebuchet MS" w:eastAsia="Times New Roman" w:hAnsi="Trebuchet MS" w:cs="Calibri"/>
                <w:b/>
                <w:bCs/>
                <w:sz w:val="16"/>
                <w:szCs w:val="16"/>
              </w:rPr>
            </w:pPr>
            <w:r w:rsidRPr="00E156A2">
              <w:rPr>
                <w:rFonts w:ascii="Trebuchet MS" w:eastAsia="Times New Roman" w:hAnsi="Trebuchet MS" w:cs="Calibri"/>
                <w:b/>
                <w:bCs/>
                <w:sz w:val="16"/>
                <w:szCs w:val="16"/>
              </w:rPr>
              <w:t>PTAB DET</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2455A7" w:rsidRPr="00E156A2" w:rsidRDefault="002455A7" w:rsidP="00601306">
            <w:pPr>
              <w:spacing w:after="0" w:line="240" w:lineRule="auto"/>
              <w:rPr>
                <w:rFonts w:ascii="Trebuchet MS" w:eastAsia="Times New Roman" w:hAnsi="Trebuchet MS" w:cs="Calibri"/>
                <w:b/>
                <w:bCs/>
                <w:sz w:val="16"/>
                <w:szCs w:val="16"/>
              </w:rPr>
            </w:pPr>
            <w:r w:rsidRPr="00E156A2">
              <w:rPr>
                <w:rFonts w:ascii="Trebuchet MS" w:eastAsia="Times New Roman" w:hAnsi="Trebuchet MS" w:cs="Calibri"/>
                <w:b/>
                <w:bCs/>
                <w:sz w:val="16"/>
                <w:szCs w:val="16"/>
              </w:rPr>
              <w:t>∆ rispetto anno prec.</w:t>
            </w:r>
          </w:p>
        </w:tc>
      </w:tr>
      <w:tr w:rsidR="002455A7" w:rsidRPr="00E156A2" w:rsidTr="00601306">
        <w:trPr>
          <w:trHeight w:val="28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455A7" w:rsidRPr="00E156A2" w:rsidRDefault="002455A7" w:rsidP="00601306">
            <w:pPr>
              <w:spacing w:after="0" w:line="240" w:lineRule="auto"/>
              <w:jc w:val="center"/>
              <w:rPr>
                <w:rFonts w:ascii="Trebuchet MS" w:eastAsia="Times New Roman" w:hAnsi="Trebuchet MS" w:cs="Calibri"/>
                <w:sz w:val="16"/>
                <w:szCs w:val="16"/>
              </w:rPr>
            </w:pPr>
            <w:r w:rsidRPr="00E156A2">
              <w:rPr>
                <w:rFonts w:ascii="Trebuchet MS" w:eastAsia="Times New Roman" w:hAnsi="Trebuchet MS" w:cs="Calibri"/>
                <w:sz w:val="16"/>
                <w:szCs w:val="16"/>
              </w:rPr>
              <w:t>2016</w:t>
            </w:r>
          </w:p>
        </w:tc>
        <w:tc>
          <w:tcPr>
            <w:tcW w:w="960" w:type="dxa"/>
            <w:tcBorders>
              <w:top w:val="nil"/>
              <w:left w:val="nil"/>
              <w:bottom w:val="single" w:sz="4" w:space="0" w:color="auto"/>
              <w:right w:val="single" w:sz="4" w:space="0" w:color="auto"/>
            </w:tcBorders>
            <w:shd w:val="clear" w:color="auto" w:fill="auto"/>
            <w:noWrap/>
            <w:vAlign w:val="bottom"/>
            <w:hideMark/>
          </w:tcPr>
          <w:p w:rsidR="002455A7" w:rsidRPr="00E156A2" w:rsidRDefault="002455A7" w:rsidP="00601306">
            <w:pPr>
              <w:spacing w:after="0" w:line="240" w:lineRule="auto"/>
              <w:jc w:val="center"/>
              <w:rPr>
                <w:rFonts w:ascii="Trebuchet MS" w:eastAsia="Times New Roman" w:hAnsi="Trebuchet MS" w:cs="Calibri"/>
                <w:sz w:val="16"/>
                <w:szCs w:val="16"/>
              </w:rPr>
            </w:pPr>
            <w:r w:rsidRPr="00E156A2">
              <w:rPr>
                <w:rFonts w:ascii="Trebuchet MS" w:eastAsia="Times New Roman" w:hAnsi="Trebuchet MS" w:cs="Calibri"/>
                <w:sz w:val="16"/>
                <w:szCs w:val="16"/>
              </w:rPr>
              <w:t>166</w:t>
            </w:r>
          </w:p>
        </w:tc>
        <w:tc>
          <w:tcPr>
            <w:tcW w:w="960" w:type="dxa"/>
            <w:tcBorders>
              <w:top w:val="nil"/>
              <w:left w:val="nil"/>
              <w:bottom w:val="single" w:sz="4" w:space="0" w:color="auto"/>
              <w:right w:val="single" w:sz="4" w:space="0" w:color="auto"/>
            </w:tcBorders>
            <w:shd w:val="clear" w:color="auto" w:fill="auto"/>
            <w:noWrap/>
            <w:vAlign w:val="bottom"/>
            <w:hideMark/>
          </w:tcPr>
          <w:p w:rsidR="002455A7" w:rsidRPr="00E156A2" w:rsidRDefault="002455A7" w:rsidP="00601306">
            <w:pPr>
              <w:spacing w:after="0" w:line="240" w:lineRule="auto"/>
              <w:jc w:val="center"/>
              <w:rPr>
                <w:rFonts w:ascii="Trebuchet MS" w:eastAsia="Times New Roman" w:hAnsi="Trebuchet MS" w:cs="Calibri"/>
                <w:sz w:val="16"/>
                <w:szCs w:val="16"/>
              </w:rPr>
            </w:pPr>
            <w:r w:rsidRPr="00E156A2">
              <w:rPr>
                <w:rFonts w:ascii="Trebuchet MS" w:eastAsia="Times New Roman" w:hAnsi="Trebuchet MS" w:cs="Calibri"/>
                <w:sz w:val="16"/>
                <w:szCs w:val="16"/>
              </w:rPr>
              <w:t>54</w:t>
            </w:r>
          </w:p>
        </w:tc>
        <w:tc>
          <w:tcPr>
            <w:tcW w:w="960" w:type="dxa"/>
            <w:tcBorders>
              <w:top w:val="nil"/>
              <w:left w:val="nil"/>
              <w:bottom w:val="single" w:sz="4" w:space="0" w:color="auto"/>
              <w:right w:val="single" w:sz="4" w:space="0" w:color="auto"/>
            </w:tcBorders>
            <w:shd w:val="clear" w:color="auto" w:fill="auto"/>
            <w:noWrap/>
            <w:vAlign w:val="bottom"/>
            <w:hideMark/>
          </w:tcPr>
          <w:p w:rsidR="002455A7" w:rsidRPr="00E156A2" w:rsidRDefault="002455A7" w:rsidP="00601306">
            <w:pPr>
              <w:spacing w:after="0" w:line="240" w:lineRule="auto"/>
              <w:jc w:val="center"/>
              <w:rPr>
                <w:rFonts w:ascii="Trebuchet MS" w:eastAsia="Times New Roman" w:hAnsi="Trebuchet MS" w:cs="Calibri"/>
                <w:sz w:val="16"/>
                <w:szCs w:val="16"/>
              </w:rPr>
            </w:pPr>
            <w:r w:rsidRPr="00E156A2">
              <w:rPr>
                <w:rFonts w:ascii="Trebuchet MS" w:eastAsia="Times New Roman" w:hAnsi="Trebuchet MS" w:cs="Calibri"/>
                <w:sz w:val="16"/>
                <w:szCs w:val="16"/>
              </w:rPr>
              <w:t>29</w:t>
            </w:r>
          </w:p>
        </w:tc>
        <w:tc>
          <w:tcPr>
            <w:tcW w:w="960" w:type="dxa"/>
            <w:tcBorders>
              <w:top w:val="nil"/>
              <w:left w:val="nil"/>
              <w:bottom w:val="single" w:sz="4" w:space="0" w:color="auto"/>
              <w:right w:val="single" w:sz="4" w:space="0" w:color="auto"/>
            </w:tcBorders>
            <w:shd w:val="clear" w:color="auto" w:fill="auto"/>
            <w:noWrap/>
            <w:vAlign w:val="bottom"/>
            <w:hideMark/>
          </w:tcPr>
          <w:p w:rsidR="002455A7" w:rsidRPr="00E156A2" w:rsidRDefault="002455A7" w:rsidP="00601306">
            <w:pPr>
              <w:spacing w:after="0" w:line="240" w:lineRule="auto"/>
              <w:jc w:val="center"/>
              <w:rPr>
                <w:rFonts w:ascii="Trebuchet MS" w:eastAsia="Times New Roman" w:hAnsi="Trebuchet MS" w:cs="Calibri"/>
                <w:sz w:val="16"/>
                <w:szCs w:val="16"/>
              </w:rPr>
            </w:pPr>
            <w:r w:rsidRPr="00E156A2">
              <w:rPr>
                <w:rFonts w:ascii="Trebuchet MS" w:eastAsia="Times New Roman" w:hAnsi="Trebuchet MS" w:cs="Calibri"/>
                <w:sz w:val="16"/>
                <w:szCs w:val="16"/>
              </w:rPr>
              <w:t>-8</w:t>
            </w:r>
          </w:p>
        </w:tc>
      </w:tr>
      <w:tr w:rsidR="002455A7" w:rsidRPr="00E156A2" w:rsidTr="00601306">
        <w:trPr>
          <w:trHeight w:val="28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455A7" w:rsidRPr="00E156A2" w:rsidRDefault="002455A7" w:rsidP="00601306">
            <w:pPr>
              <w:spacing w:after="0" w:line="240" w:lineRule="auto"/>
              <w:jc w:val="center"/>
              <w:rPr>
                <w:rFonts w:ascii="Trebuchet MS" w:eastAsia="Times New Roman" w:hAnsi="Trebuchet MS" w:cs="Calibri"/>
                <w:sz w:val="16"/>
                <w:szCs w:val="16"/>
              </w:rPr>
            </w:pPr>
            <w:r w:rsidRPr="00E156A2">
              <w:rPr>
                <w:rFonts w:ascii="Trebuchet MS" w:eastAsia="Times New Roman" w:hAnsi="Trebuchet MS" w:cs="Calibri"/>
                <w:sz w:val="16"/>
                <w:szCs w:val="16"/>
              </w:rPr>
              <w:t>2017</w:t>
            </w:r>
          </w:p>
        </w:tc>
        <w:tc>
          <w:tcPr>
            <w:tcW w:w="960" w:type="dxa"/>
            <w:tcBorders>
              <w:top w:val="nil"/>
              <w:left w:val="nil"/>
              <w:bottom w:val="single" w:sz="4" w:space="0" w:color="auto"/>
              <w:right w:val="single" w:sz="4" w:space="0" w:color="auto"/>
            </w:tcBorders>
            <w:shd w:val="clear" w:color="auto" w:fill="auto"/>
            <w:noWrap/>
            <w:vAlign w:val="bottom"/>
            <w:hideMark/>
          </w:tcPr>
          <w:p w:rsidR="002455A7" w:rsidRPr="00E156A2" w:rsidRDefault="002455A7" w:rsidP="00601306">
            <w:pPr>
              <w:spacing w:after="0" w:line="240" w:lineRule="auto"/>
              <w:jc w:val="center"/>
              <w:rPr>
                <w:rFonts w:ascii="Trebuchet MS" w:eastAsia="Times New Roman" w:hAnsi="Trebuchet MS" w:cs="Calibri"/>
                <w:sz w:val="16"/>
                <w:szCs w:val="16"/>
              </w:rPr>
            </w:pPr>
            <w:r w:rsidRPr="00E156A2">
              <w:rPr>
                <w:rFonts w:ascii="Trebuchet MS" w:eastAsia="Times New Roman" w:hAnsi="Trebuchet MS" w:cs="Calibri"/>
                <w:sz w:val="16"/>
                <w:szCs w:val="16"/>
              </w:rPr>
              <w:t>289</w:t>
            </w:r>
          </w:p>
        </w:tc>
        <w:tc>
          <w:tcPr>
            <w:tcW w:w="960" w:type="dxa"/>
            <w:tcBorders>
              <w:top w:val="nil"/>
              <w:left w:val="nil"/>
              <w:bottom w:val="single" w:sz="4" w:space="0" w:color="auto"/>
              <w:right w:val="single" w:sz="4" w:space="0" w:color="auto"/>
            </w:tcBorders>
            <w:shd w:val="clear" w:color="auto" w:fill="auto"/>
            <w:noWrap/>
            <w:vAlign w:val="bottom"/>
            <w:hideMark/>
          </w:tcPr>
          <w:p w:rsidR="002455A7" w:rsidRPr="00E156A2" w:rsidRDefault="002455A7" w:rsidP="00601306">
            <w:pPr>
              <w:spacing w:after="0" w:line="240" w:lineRule="auto"/>
              <w:jc w:val="center"/>
              <w:rPr>
                <w:rFonts w:ascii="Trebuchet MS" w:eastAsia="Times New Roman" w:hAnsi="Trebuchet MS" w:cs="Calibri"/>
                <w:sz w:val="16"/>
                <w:szCs w:val="16"/>
              </w:rPr>
            </w:pPr>
            <w:r w:rsidRPr="00E156A2">
              <w:rPr>
                <w:rFonts w:ascii="Trebuchet MS" w:eastAsia="Times New Roman" w:hAnsi="Trebuchet MS" w:cs="Calibri"/>
                <w:sz w:val="16"/>
                <w:szCs w:val="16"/>
              </w:rPr>
              <w:t>123</w:t>
            </w:r>
          </w:p>
        </w:tc>
        <w:tc>
          <w:tcPr>
            <w:tcW w:w="960" w:type="dxa"/>
            <w:tcBorders>
              <w:top w:val="nil"/>
              <w:left w:val="nil"/>
              <w:bottom w:val="single" w:sz="4" w:space="0" w:color="auto"/>
              <w:right w:val="single" w:sz="4" w:space="0" w:color="auto"/>
            </w:tcBorders>
            <w:shd w:val="clear" w:color="auto" w:fill="auto"/>
            <w:noWrap/>
            <w:vAlign w:val="bottom"/>
            <w:hideMark/>
          </w:tcPr>
          <w:p w:rsidR="002455A7" w:rsidRPr="00E156A2" w:rsidRDefault="002455A7" w:rsidP="00601306">
            <w:pPr>
              <w:spacing w:after="0" w:line="240" w:lineRule="auto"/>
              <w:jc w:val="center"/>
              <w:rPr>
                <w:rFonts w:ascii="Trebuchet MS" w:eastAsia="Times New Roman" w:hAnsi="Trebuchet MS" w:cs="Calibri"/>
                <w:sz w:val="16"/>
                <w:szCs w:val="16"/>
              </w:rPr>
            </w:pPr>
            <w:r w:rsidRPr="00E156A2">
              <w:rPr>
                <w:rFonts w:ascii="Trebuchet MS" w:eastAsia="Times New Roman" w:hAnsi="Trebuchet MS" w:cs="Calibri"/>
                <w:sz w:val="16"/>
                <w:szCs w:val="16"/>
              </w:rPr>
              <w:t>38</w:t>
            </w:r>
          </w:p>
        </w:tc>
        <w:tc>
          <w:tcPr>
            <w:tcW w:w="960" w:type="dxa"/>
            <w:tcBorders>
              <w:top w:val="nil"/>
              <w:left w:val="nil"/>
              <w:bottom w:val="single" w:sz="4" w:space="0" w:color="auto"/>
              <w:right w:val="single" w:sz="4" w:space="0" w:color="auto"/>
            </w:tcBorders>
            <w:shd w:val="clear" w:color="auto" w:fill="auto"/>
            <w:noWrap/>
            <w:vAlign w:val="bottom"/>
            <w:hideMark/>
          </w:tcPr>
          <w:p w:rsidR="002455A7" w:rsidRPr="00E156A2" w:rsidRDefault="002455A7" w:rsidP="00601306">
            <w:pPr>
              <w:spacing w:after="0" w:line="240" w:lineRule="auto"/>
              <w:jc w:val="center"/>
              <w:rPr>
                <w:rFonts w:ascii="Trebuchet MS" w:eastAsia="Times New Roman" w:hAnsi="Trebuchet MS" w:cs="Calibri"/>
                <w:sz w:val="16"/>
                <w:szCs w:val="16"/>
              </w:rPr>
            </w:pPr>
            <w:r w:rsidRPr="00E156A2">
              <w:rPr>
                <w:rFonts w:ascii="Trebuchet MS" w:eastAsia="Times New Roman" w:hAnsi="Trebuchet MS" w:cs="Calibri"/>
                <w:sz w:val="16"/>
                <w:szCs w:val="16"/>
              </w:rPr>
              <w:t>9</w:t>
            </w:r>
          </w:p>
        </w:tc>
      </w:tr>
      <w:tr w:rsidR="002455A7" w:rsidRPr="00E156A2" w:rsidTr="00601306">
        <w:trPr>
          <w:trHeight w:val="28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455A7" w:rsidRPr="00E156A2" w:rsidRDefault="002455A7" w:rsidP="00601306">
            <w:pPr>
              <w:spacing w:after="0" w:line="240" w:lineRule="auto"/>
              <w:jc w:val="center"/>
              <w:rPr>
                <w:rFonts w:ascii="Trebuchet MS" w:eastAsia="Times New Roman" w:hAnsi="Trebuchet MS" w:cs="Calibri"/>
                <w:sz w:val="16"/>
                <w:szCs w:val="16"/>
              </w:rPr>
            </w:pPr>
            <w:r w:rsidRPr="00E156A2">
              <w:rPr>
                <w:rFonts w:ascii="Trebuchet MS" w:eastAsia="Times New Roman" w:hAnsi="Trebuchet MS" w:cs="Calibri"/>
                <w:sz w:val="16"/>
                <w:szCs w:val="16"/>
              </w:rPr>
              <w:t>2018</w:t>
            </w:r>
          </w:p>
        </w:tc>
        <w:tc>
          <w:tcPr>
            <w:tcW w:w="960" w:type="dxa"/>
            <w:tcBorders>
              <w:top w:val="nil"/>
              <w:left w:val="nil"/>
              <w:bottom w:val="single" w:sz="4" w:space="0" w:color="auto"/>
              <w:right w:val="single" w:sz="4" w:space="0" w:color="auto"/>
            </w:tcBorders>
            <w:shd w:val="clear" w:color="auto" w:fill="auto"/>
            <w:noWrap/>
            <w:vAlign w:val="bottom"/>
            <w:hideMark/>
          </w:tcPr>
          <w:p w:rsidR="002455A7" w:rsidRPr="00E156A2" w:rsidRDefault="002455A7" w:rsidP="00601306">
            <w:pPr>
              <w:spacing w:after="0" w:line="240" w:lineRule="auto"/>
              <w:jc w:val="center"/>
              <w:rPr>
                <w:rFonts w:ascii="Trebuchet MS" w:eastAsia="Times New Roman" w:hAnsi="Trebuchet MS" w:cs="Calibri"/>
                <w:sz w:val="16"/>
                <w:szCs w:val="16"/>
              </w:rPr>
            </w:pPr>
            <w:r w:rsidRPr="00E156A2">
              <w:rPr>
                <w:rFonts w:ascii="Trebuchet MS" w:eastAsia="Times New Roman" w:hAnsi="Trebuchet MS" w:cs="Calibri"/>
                <w:sz w:val="16"/>
                <w:szCs w:val="16"/>
              </w:rPr>
              <w:t>358</w:t>
            </w:r>
          </w:p>
        </w:tc>
        <w:tc>
          <w:tcPr>
            <w:tcW w:w="960" w:type="dxa"/>
            <w:tcBorders>
              <w:top w:val="nil"/>
              <w:left w:val="nil"/>
              <w:bottom w:val="single" w:sz="4" w:space="0" w:color="auto"/>
              <w:right w:val="single" w:sz="4" w:space="0" w:color="auto"/>
            </w:tcBorders>
            <w:shd w:val="clear" w:color="auto" w:fill="auto"/>
            <w:noWrap/>
            <w:vAlign w:val="bottom"/>
            <w:hideMark/>
          </w:tcPr>
          <w:p w:rsidR="002455A7" w:rsidRPr="00E156A2" w:rsidRDefault="002455A7" w:rsidP="00601306">
            <w:pPr>
              <w:spacing w:after="0" w:line="240" w:lineRule="auto"/>
              <w:jc w:val="center"/>
              <w:rPr>
                <w:rFonts w:ascii="Trebuchet MS" w:eastAsia="Times New Roman" w:hAnsi="Trebuchet MS" w:cs="Calibri"/>
                <w:sz w:val="16"/>
                <w:szCs w:val="16"/>
              </w:rPr>
            </w:pPr>
            <w:r w:rsidRPr="00E156A2">
              <w:rPr>
                <w:rFonts w:ascii="Trebuchet MS" w:eastAsia="Times New Roman" w:hAnsi="Trebuchet MS" w:cs="Calibri"/>
                <w:sz w:val="16"/>
                <w:szCs w:val="16"/>
              </w:rPr>
              <w:t>69</w:t>
            </w:r>
          </w:p>
        </w:tc>
        <w:tc>
          <w:tcPr>
            <w:tcW w:w="960" w:type="dxa"/>
            <w:tcBorders>
              <w:top w:val="nil"/>
              <w:left w:val="nil"/>
              <w:bottom w:val="single" w:sz="4" w:space="0" w:color="auto"/>
              <w:right w:val="single" w:sz="4" w:space="0" w:color="auto"/>
            </w:tcBorders>
            <w:shd w:val="clear" w:color="auto" w:fill="auto"/>
            <w:noWrap/>
            <w:vAlign w:val="bottom"/>
            <w:hideMark/>
          </w:tcPr>
          <w:p w:rsidR="002455A7" w:rsidRPr="00E156A2" w:rsidRDefault="002455A7" w:rsidP="00601306">
            <w:pPr>
              <w:spacing w:after="0" w:line="240" w:lineRule="auto"/>
              <w:jc w:val="center"/>
              <w:rPr>
                <w:rFonts w:ascii="Trebuchet MS" w:eastAsia="Times New Roman" w:hAnsi="Trebuchet MS" w:cs="Calibri"/>
                <w:sz w:val="16"/>
                <w:szCs w:val="16"/>
              </w:rPr>
            </w:pPr>
            <w:r w:rsidRPr="00E156A2">
              <w:rPr>
                <w:rFonts w:ascii="Trebuchet MS" w:eastAsia="Times New Roman" w:hAnsi="Trebuchet MS" w:cs="Calibri"/>
                <w:sz w:val="16"/>
                <w:szCs w:val="16"/>
              </w:rPr>
              <w:t>38</w:t>
            </w:r>
          </w:p>
        </w:tc>
        <w:tc>
          <w:tcPr>
            <w:tcW w:w="960" w:type="dxa"/>
            <w:tcBorders>
              <w:top w:val="nil"/>
              <w:left w:val="nil"/>
              <w:bottom w:val="single" w:sz="4" w:space="0" w:color="auto"/>
              <w:right w:val="single" w:sz="4" w:space="0" w:color="auto"/>
            </w:tcBorders>
            <w:shd w:val="clear" w:color="auto" w:fill="auto"/>
            <w:noWrap/>
            <w:vAlign w:val="bottom"/>
            <w:hideMark/>
          </w:tcPr>
          <w:p w:rsidR="002455A7" w:rsidRPr="00E156A2" w:rsidRDefault="002455A7" w:rsidP="00601306">
            <w:pPr>
              <w:spacing w:after="0" w:line="240" w:lineRule="auto"/>
              <w:jc w:val="center"/>
              <w:rPr>
                <w:rFonts w:ascii="Trebuchet MS" w:eastAsia="Times New Roman" w:hAnsi="Trebuchet MS" w:cs="Calibri"/>
                <w:sz w:val="16"/>
                <w:szCs w:val="16"/>
              </w:rPr>
            </w:pPr>
            <w:r w:rsidRPr="00E156A2">
              <w:rPr>
                <w:rFonts w:ascii="Trebuchet MS" w:eastAsia="Times New Roman" w:hAnsi="Trebuchet MS" w:cs="Calibri"/>
                <w:sz w:val="16"/>
                <w:szCs w:val="16"/>
              </w:rPr>
              <w:t>0</w:t>
            </w:r>
          </w:p>
        </w:tc>
      </w:tr>
      <w:tr w:rsidR="002455A7" w:rsidRPr="00E156A2" w:rsidTr="00601306">
        <w:trPr>
          <w:trHeight w:val="28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455A7" w:rsidRPr="00E156A2" w:rsidRDefault="002455A7" w:rsidP="00601306">
            <w:pPr>
              <w:spacing w:after="0" w:line="240" w:lineRule="auto"/>
              <w:jc w:val="center"/>
              <w:rPr>
                <w:rFonts w:ascii="Trebuchet MS" w:eastAsia="Times New Roman" w:hAnsi="Trebuchet MS" w:cs="Calibri"/>
                <w:sz w:val="16"/>
                <w:szCs w:val="16"/>
              </w:rPr>
            </w:pPr>
            <w:r w:rsidRPr="00E156A2">
              <w:rPr>
                <w:rFonts w:ascii="Trebuchet MS" w:eastAsia="Times New Roman" w:hAnsi="Trebuchet MS" w:cs="Calibri"/>
                <w:sz w:val="16"/>
                <w:szCs w:val="16"/>
              </w:rPr>
              <w:t>2019</w:t>
            </w:r>
          </w:p>
        </w:tc>
        <w:tc>
          <w:tcPr>
            <w:tcW w:w="960" w:type="dxa"/>
            <w:tcBorders>
              <w:top w:val="nil"/>
              <w:left w:val="nil"/>
              <w:bottom w:val="single" w:sz="4" w:space="0" w:color="auto"/>
              <w:right w:val="single" w:sz="4" w:space="0" w:color="auto"/>
            </w:tcBorders>
            <w:shd w:val="clear" w:color="auto" w:fill="auto"/>
            <w:noWrap/>
            <w:vAlign w:val="bottom"/>
            <w:hideMark/>
          </w:tcPr>
          <w:p w:rsidR="002455A7" w:rsidRPr="00E156A2" w:rsidRDefault="002455A7" w:rsidP="00601306">
            <w:pPr>
              <w:spacing w:after="0" w:line="240" w:lineRule="auto"/>
              <w:jc w:val="center"/>
              <w:rPr>
                <w:rFonts w:ascii="Trebuchet MS" w:eastAsia="Times New Roman" w:hAnsi="Trebuchet MS" w:cs="Calibri"/>
                <w:sz w:val="16"/>
                <w:szCs w:val="16"/>
              </w:rPr>
            </w:pPr>
            <w:r w:rsidRPr="00E156A2">
              <w:rPr>
                <w:rFonts w:ascii="Trebuchet MS" w:eastAsia="Times New Roman" w:hAnsi="Trebuchet MS" w:cs="Calibri"/>
                <w:sz w:val="16"/>
                <w:szCs w:val="16"/>
              </w:rPr>
              <w:t>353</w:t>
            </w:r>
          </w:p>
        </w:tc>
        <w:tc>
          <w:tcPr>
            <w:tcW w:w="960" w:type="dxa"/>
            <w:tcBorders>
              <w:top w:val="nil"/>
              <w:left w:val="nil"/>
              <w:bottom w:val="single" w:sz="4" w:space="0" w:color="auto"/>
              <w:right w:val="single" w:sz="4" w:space="0" w:color="auto"/>
            </w:tcBorders>
            <w:shd w:val="clear" w:color="auto" w:fill="auto"/>
            <w:noWrap/>
            <w:vAlign w:val="bottom"/>
            <w:hideMark/>
          </w:tcPr>
          <w:p w:rsidR="002455A7" w:rsidRPr="00E156A2" w:rsidRDefault="002455A7" w:rsidP="00601306">
            <w:pPr>
              <w:spacing w:after="0" w:line="240" w:lineRule="auto"/>
              <w:jc w:val="center"/>
              <w:rPr>
                <w:rFonts w:ascii="Trebuchet MS" w:eastAsia="Times New Roman" w:hAnsi="Trebuchet MS" w:cs="Calibri"/>
                <w:sz w:val="16"/>
                <w:szCs w:val="16"/>
              </w:rPr>
            </w:pPr>
            <w:r w:rsidRPr="00E156A2">
              <w:rPr>
                <w:rFonts w:ascii="Trebuchet MS" w:eastAsia="Times New Roman" w:hAnsi="Trebuchet MS" w:cs="Calibri"/>
                <w:sz w:val="16"/>
                <w:szCs w:val="16"/>
              </w:rPr>
              <w:t>-5</w:t>
            </w:r>
          </w:p>
        </w:tc>
        <w:tc>
          <w:tcPr>
            <w:tcW w:w="960" w:type="dxa"/>
            <w:tcBorders>
              <w:top w:val="nil"/>
              <w:left w:val="nil"/>
              <w:bottom w:val="single" w:sz="4" w:space="0" w:color="auto"/>
              <w:right w:val="single" w:sz="4" w:space="0" w:color="auto"/>
            </w:tcBorders>
            <w:shd w:val="clear" w:color="auto" w:fill="auto"/>
            <w:noWrap/>
            <w:vAlign w:val="bottom"/>
            <w:hideMark/>
          </w:tcPr>
          <w:p w:rsidR="002455A7" w:rsidRPr="00E156A2" w:rsidRDefault="002455A7" w:rsidP="00601306">
            <w:pPr>
              <w:spacing w:after="0" w:line="240" w:lineRule="auto"/>
              <w:jc w:val="center"/>
              <w:rPr>
                <w:rFonts w:ascii="Trebuchet MS" w:eastAsia="Times New Roman" w:hAnsi="Trebuchet MS" w:cs="Calibri"/>
                <w:sz w:val="16"/>
                <w:szCs w:val="16"/>
              </w:rPr>
            </w:pPr>
            <w:r w:rsidRPr="00E156A2">
              <w:rPr>
                <w:rFonts w:ascii="Trebuchet MS" w:eastAsia="Times New Roman" w:hAnsi="Trebuchet MS" w:cs="Calibri"/>
                <w:sz w:val="16"/>
                <w:szCs w:val="16"/>
              </w:rPr>
              <w:t>53</w:t>
            </w:r>
          </w:p>
        </w:tc>
        <w:tc>
          <w:tcPr>
            <w:tcW w:w="960" w:type="dxa"/>
            <w:tcBorders>
              <w:top w:val="nil"/>
              <w:left w:val="nil"/>
              <w:bottom w:val="single" w:sz="4" w:space="0" w:color="auto"/>
              <w:right w:val="single" w:sz="4" w:space="0" w:color="auto"/>
            </w:tcBorders>
            <w:shd w:val="clear" w:color="auto" w:fill="auto"/>
            <w:noWrap/>
            <w:vAlign w:val="bottom"/>
            <w:hideMark/>
          </w:tcPr>
          <w:p w:rsidR="002455A7" w:rsidRPr="00E156A2" w:rsidRDefault="002455A7" w:rsidP="00601306">
            <w:pPr>
              <w:spacing w:after="0" w:line="240" w:lineRule="auto"/>
              <w:jc w:val="center"/>
              <w:rPr>
                <w:rFonts w:ascii="Trebuchet MS" w:eastAsia="Times New Roman" w:hAnsi="Trebuchet MS" w:cs="Calibri"/>
                <w:sz w:val="16"/>
                <w:szCs w:val="16"/>
              </w:rPr>
            </w:pPr>
            <w:r w:rsidRPr="00E156A2">
              <w:rPr>
                <w:rFonts w:ascii="Trebuchet MS" w:eastAsia="Times New Roman" w:hAnsi="Trebuchet MS" w:cs="Calibri"/>
                <w:sz w:val="16"/>
                <w:szCs w:val="16"/>
              </w:rPr>
              <w:t>15</w:t>
            </w:r>
          </w:p>
        </w:tc>
      </w:tr>
      <w:tr w:rsidR="002455A7" w:rsidRPr="00E156A2" w:rsidTr="00601306">
        <w:trPr>
          <w:trHeight w:val="28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455A7" w:rsidRPr="00E156A2" w:rsidRDefault="002455A7" w:rsidP="00601306">
            <w:pPr>
              <w:spacing w:after="0" w:line="240" w:lineRule="auto"/>
              <w:jc w:val="center"/>
              <w:rPr>
                <w:rFonts w:ascii="Trebuchet MS" w:eastAsia="Times New Roman" w:hAnsi="Trebuchet MS" w:cs="Calibri"/>
                <w:sz w:val="16"/>
                <w:szCs w:val="16"/>
              </w:rPr>
            </w:pPr>
            <w:r w:rsidRPr="00E156A2">
              <w:rPr>
                <w:rFonts w:ascii="Trebuchet MS" w:eastAsia="Times New Roman" w:hAnsi="Trebuchet MS" w:cs="Calibri"/>
                <w:sz w:val="16"/>
                <w:szCs w:val="16"/>
              </w:rPr>
              <w:t>2020</w:t>
            </w:r>
          </w:p>
        </w:tc>
        <w:tc>
          <w:tcPr>
            <w:tcW w:w="960" w:type="dxa"/>
            <w:tcBorders>
              <w:top w:val="nil"/>
              <w:left w:val="nil"/>
              <w:bottom w:val="single" w:sz="4" w:space="0" w:color="auto"/>
              <w:right w:val="single" w:sz="4" w:space="0" w:color="auto"/>
            </w:tcBorders>
            <w:shd w:val="clear" w:color="auto" w:fill="auto"/>
            <w:noWrap/>
            <w:vAlign w:val="bottom"/>
            <w:hideMark/>
          </w:tcPr>
          <w:p w:rsidR="002455A7" w:rsidRPr="00E156A2" w:rsidRDefault="002455A7" w:rsidP="00601306">
            <w:pPr>
              <w:spacing w:after="0" w:line="240" w:lineRule="auto"/>
              <w:jc w:val="center"/>
              <w:rPr>
                <w:rFonts w:ascii="Trebuchet MS" w:eastAsia="Times New Roman" w:hAnsi="Trebuchet MS" w:cs="Calibri"/>
                <w:sz w:val="16"/>
                <w:szCs w:val="16"/>
              </w:rPr>
            </w:pPr>
            <w:r w:rsidRPr="00E156A2">
              <w:rPr>
                <w:rFonts w:ascii="Trebuchet MS" w:eastAsia="Times New Roman" w:hAnsi="Trebuchet MS" w:cs="Calibri"/>
                <w:sz w:val="16"/>
                <w:szCs w:val="16"/>
              </w:rPr>
              <w:t>362</w:t>
            </w:r>
          </w:p>
        </w:tc>
        <w:tc>
          <w:tcPr>
            <w:tcW w:w="960" w:type="dxa"/>
            <w:tcBorders>
              <w:top w:val="nil"/>
              <w:left w:val="nil"/>
              <w:bottom w:val="single" w:sz="4" w:space="0" w:color="auto"/>
              <w:right w:val="single" w:sz="4" w:space="0" w:color="auto"/>
            </w:tcBorders>
            <w:shd w:val="clear" w:color="auto" w:fill="auto"/>
            <w:noWrap/>
            <w:vAlign w:val="bottom"/>
            <w:hideMark/>
          </w:tcPr>
          <w:p w:rsidR="002455A7" w:rsidRPr="00E156A2" w:rsidRDefault="002455A7" w:rsidP="00601306">
            <w:pPr>
              <w:spacing w:after="0" w:line="240" w:lineRule="auto"/>
              <w:jc w:val="center"/>
              <w:rPr>
                <w:rFonts w:ascii="Trebuchet MS" w:eastAsia="Times New Roman" w:hAnsi="Trebuchet MS" w:cs="Calibri"/>
                <w:sz w:val="16"/>
                <w:szCs w:val="16"/>
              </w:rPr>
            </w:pPr>
            <w:r w:rsidRPr="00E156A2">
              <w:rPr>
                <w:rFonts w:ascii="Trebuchet MS" w:eastAsia="Times New Roman" w:hAnsi="Trebuchet MS" w:cs="Calibri"/>
                <w:sz w:val="16"/>
                <w:szCs w:val="16"/>
              </w:rPr>
              <w:t>9</w:t>
            </w:r>
          </w:p>
        </w:tc>
        <w:tc>
          <w:tcPr>
            <w:tcW w:w="960" w:type="dxa"/>
            <w:tcBorders>
              <w:top w:val="nil"/>
              <w:left w:val="nil"/>
              <w:bottom w:val="single" w:sz="4" w:space="0" w:color="auto"/>
              <w:right w:val="single" w:sz="4" w:space="0" w:color="auto"/>
            </w:tcBorders>
            <w:shd w:val="clear" w:color="auto" w:fill="auto"/>
            <w:noWrap/>
            <w:vAlign w:val="bottom"/>
            <w:hideMark/>
          </w:tcPr>
          <w:p w:rsidR="002455A7" w:rsidRPr="00E156A2" w:rsidRDefault="002455A7" w:rsidP="00601306">
            <w:pPr>
              <w:spacing w:after="0" w:line="240" w:lineRule="auto"/>
              <w:jc w:val="center"/>
              <w:rPr>
                <w:rFonts w:ascii="Trebuchet MS" w:eastAsia="Times New Roman" w:hAnsi="Trebuchet MS" w:cs="Calibri"/>
                <w:sz w:val="16"/>
                <w:szCs w:val="16"/>
              </w:rPr>
            </w:pPr>
            <w:r>
              <w:rPr>
                <w:rFonts w:ascii="Trebuchet MS" w:eastAsia="Times New Roman" w:hAnsi="Trebuchet MS" w:cs="Calibri"/>
                <w:sz w:val="16"/>
                <w:szCs w:val="16"/>
              </w:rPr>
              <w:t>54*</w:t>
            </w:r>
          </w:p>
        </w:tc>
        <w:tc>
          <w:tcPr>
            <w:tcW w:w="960" w:type="dxa"/>
            <w:tcBorders>
              <w:top w:val="nil"/>
              <w:left w:val="nil"/>
              <w:bottom w:val="single" w:sz="4" w:space="0" w:color="auto"/>
              <w:right w:val="single" w:sz="4" w:space="0" w:color="auto"/>
            </w:tcBorders>
            <w:shd w:val="clear" w:color="auto" w:fill="auto"/>
            <w:noWrap/>
            <w:vAlign w:val="bottom"/>
            <w:hideMark/>
          </w:tcPr>
          <w:p w:rsidR="002455A7" w:rsidRPr="00E156A2" w:rsidRDefault="002455A7" w:rsidP="00601306">
            <w:pPr>
              <w:spacing w:after="0" w:line="240" w:lineRule="auto"/>
              <w:jc w:val="center"/>
              <w:rPr>
                <w:rFonts w:ascii="Trebuchet MS" w:eastAsia="Times New Roman" w:hAnsi="Trebuchet MS" w:cs="Calibri"/>
                <w:sz w:val="16"/>
                <w:szCs w:val="16"/>
              </w:rPr>
            </w:pPr>
            <w:r>
              <w:rPr>
                <w:rFonts w:ascii="Trebuchet MS" w:eastAsia="Times New Roman" w:hAnsi="Trebuchet MS" w:cs="Calibri"/>
                <w:sz w:val="16"/>
                <w:szCs w:val="16"/>
              </w:rPr>
              <w:t>1</w:t>
            </w:r>
          </w:p>
        </w:tc>
      </w:tr>
    </w:tbl>
    <w:p w:rsidR="00164264" w:rsidRPr="002455A7" w:rsidRDefault="002455A7" w:rsidP="00164264">
      <w:pPr>
        <w:spacing w:before="240" w:after="120" w:line="240" w:lineRule="auto"/>
        <w:jc w:val="both"/>
        <w:rPr>
          <w:i/>
          <w:szCs w:val="20"/>
        </w:rPr>
      </w:pPr>
      <w:r w:rsidRPr="002455A7">
        <w:rPr>
          <w:i/>
          <w:szCs w:val="20"/>
        </w:rPr>
        <w:t>*Comprende 16</w:t>
      </w:r>
      <w:r w:rsidR="00164264" w:rsidRPr="002455A7">
        <w:rPr>
          <w:i/>
          <w:szCs w:val="20"/>
        </w:rPr>
        <w:t xml:space="preserve"> tecnologi.</w:t>
      </w:r>
    </w:p>
    <w:p w:rsidR="00C42FAE" w:rsidRPr="009B6196" w:rsidRDefault="00C42FAE" w:rsidP="00C51244">
      <w:pPr>
        <w:rPr>
          <w:b/>
          <w:szCs w:val="20"/>
          <w:highlight w:val="yellow"/>
        </w:rPr>
      </w:pPr>
    </w:p>
    <w:p w:rsidR="00164264" w:rsidRPr="002455A7" w:rsidRDefault="009271FA" w:rsidP="00C51244">
      <w:pPr>
        <w:rPr>
          <w:b/>
          <w:szCs w:val="20"/>
        </w:rPr>
      </w:pPr>
      <w:r w:rsidRPr="002455A7">
        <w:rPr>
          <w:b/>
          <w:szCs w:val="20"/>
        </w:rPr>
        <w:t>D</w:t>
      </w:r>
      <w:r w:rsidR="00C42FAE" w:rsidRPr="002455A7">
        <w:rPr>
          <w:b/>
          <w:szCs w:val="20"/>
        </w:rPr>
        <w:t>) Andamento del personale negli ulti</w:t>
      </w:r>
      <w:r w:rsidR="002455A7" w:rsidRPr="002455A7">
        <w:rPr>
          <w:b/>
          <w:szCs w:val="20"/>
        </w:rPr>
        <w:t>mi 2</w:t>
      </w:r>
      <w:r w:rsidR="002455A7">
        <w:rPr>
          <w:b/>
          <w:szCs w:val="20"/>
        </w:rPr>
        <w:t>1</w:t>
      </w:r>
      <w:r w:rsidR="00C42FAE" w:rsidRPr="002455A7">
        <w:rPr>
          <w:b/>
          <w:szCs w:val="20"/>
        </w:rPr>
        <w:t xml:space="preserve"> anni</w:t>
      </w:r>
    </w:p>
    <w:p w:rsidR="00C42FAE" w:rsidRPr="009B6196" w:rsidRDefault="00C42FAE" w:rsidP="00C51244">
      <w:pPr>
        <w:rPr>
          <w:b/>
          <w:szCs w:val="20"/>
          <w:highlight w:val="yellow"/>
        </w:rPr>
      </w:pPr>
    </w:p>
    <w:p w:rsidR="006B4426" w:rsidRDefault="002455A7" w:rsidP="002455A7">
      <w:pPr>
        <w:rPr>
          <w:rFonts w:asciiTheme="minorHAnsi" w:hAnsiTheme="minorHAnsi" w:cstheme="minorHAnsi"/>
          <w:sz w:val="22"/>
          <w:highlight w:val="yellow"/>
        </w:rPr>
      </w:pPr>
      <w:r>
        <w:rPr>
          <w:noProof/>
        </w:rPr>
        <w:drawing>
          <wp:inline distT="0" distB="0" distL="0" distR="0" wp14:anchorId="48D0AD91" wp14:editId="089F6CEB">
            <wp:extent cx="5065567" cy="2569152"/>
            <wp:effectExtent l="0" t="0" r="1905" b="3175"/>
            <wp:docPr id="14" name="Gra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2455A7" w:rsidRPr="009B6196" w:rsidRDefault="002455A7" w:rsidP="002455A7">
      <w:pPr>
        <w:rPr>
          <w:rFonts w:asciiTheme="minorHAnsi" w:hAnsiTheme="minorHAnsi" w:cstheme="minorHAnsi"/>
          <w:sz w:val="22"/>
          <w:highlight w:val="yellow"/>
        </w:rPr>
      </w:pPr>
    </w:p>
    <w:p w:rsidR="00512AB2" w:rsidRPr="00512AB2" w:rsidRDefault="009271FA" w:rsidP="00512AB2">
      <w:pPr>
        <w:keepNext/>
        <w:spacing w:before="120" w:after="240"/>
        <w:jc w:val="both"/>
        <w:rPr>
          <w:b/>
        </w:rPr>
      </w:pPr>
      <w:r w:rsidRPr="00512AB2">
        <w:rPr>
          <w:b/>
        </w:rPr>
        <w:t>E</w:t>
      </w:r>
      <w:r w:rsidR="00C42FAE" w:rsidRPr="00512AB2">
        <w:rPr>
          <w:b/>
        </w:rPr>
        <w:t xml:space="preserve">) </w:t>
      </w:r>
      <w:r w:rsidR="006B4426" w:rsidRPr="00512AB2">
        <w:rPr>
          <w:b/>
        </w:rPr>
        <w:t>Distribuzione del personale TAB, a tempo indetermi</w:t>
      </w:r>
      <w:r w:rsidR="00512AB2" w:rsidRPr="00512AB2">
        <w:rPr>
          <w:b/>
        </w:rPr>
        <w:t>nato e determinato al 31/12/2020</w:t>
      </w:r>
      <w:r w:rsidR="00512AB2">
        <w:rPr>
          <w:b/>
        </w:rPr>
        <w:t>:</w:t>
      </w:r>
      <w:r w:rsidR="00512AB2">
        <w:fldChar w:fldCharType="begin"/>
      </w:r>
      <w:r w:rsidR="00512AB2">
        <w:instrText xml:space="preserve"> LINK Excel.Sheet.12 "C:\\Users\\CANAVESEA\\Documents\\conto consuntivo 2020\\Copia di INVIATO canavese 16 maggio.xlsx" Foglio2!R2C1:R51C6 \a \f 4 \h </w:instrText>
      </w:r>
      <w:r w:rsidR="00512AB2">
        <w:fldChar w:fldCharType="separate"/>
      </w:r>
    </w:p>
    <w:tbl>
      <w:tblPr>
        <w:tblW w:w="9080" w:type="dxa"/>
        <w:tblCellMar>
          <w:left w:w="70" w:type="dxa"/>
          <w:right w:w="70" w:type="dxa"/>
        </w:tblCellMar>
        <w:tblLook w:val="04A0" w:firstRow="1" w:lastRow="0" w:firstColumn="1" w:lastColumn="0" w:noHBand="0" w:noVBand="1"/>
      </w:tblPr>
      <w:tblGrid>
        <w:gridCol w:w="5260"/>
        <w:gridCol w:w="851"/>
        <w:gridCol w:w="594"/>
        <w:gridCol w:w="1201"/>
        <w:gridCol w:w="1180"/>
      </w:tblGrid>
      <w:tr w:rsidR="00512AB2" w:rsidRPr="008E18D6" w:rsidTr="00601306">
        <w:trPr>
          <w:trHeight w:val="300"/>
        </w:trPr>
        <w:tc>
          <w:tcPr>
            <w:tcW w:w="5260" w:type="dxa"/>
            <w:tcBorders>
              <w:top w:val="single" w:sz="4" w:space="0" w:color="auto"/>
              <w:left w:val="single" w:sz="4" w:space="0" w:color="auto"/>
              <w:bottom w:val="single" w:sz="4" w:space="0" w:color="auto"/>
              <w:right w:val="nil"/>
            </w:tcBorders>
            <w:shd w:val="clear" w:color="auto" w:fill="auto"/>
            <w:noWrap/>
            <w:vAlign w:val="bottom"/>
            <w:hideMark/>
          </w:tcPr>
          <w:p w:rsidR="00512AB2" w:rsidRPr="008E18D6" w:rsidRDefault="00512AB2" w:rsidP="00601306">
            <w:pPr>
              <w:rPr>
                <w:rFonts w:ascii="Calibri" w:eastAsia="Times New Roman" w:hAnsi="Calibri" w:cs="Calibri"/>
                <w:sz w:val="16"/>
                <w:szCs w:val="16"/>
              </w:rPr>
            </w:pPr>
            <w:r w:rsidRPr="008E18D6">
              <w:rPr>
                <w:rFonts w:ascii="Calibri" w:eastAsia="Times New Roman" w:hAnsi="Calibri" w:cs="Calibri"/>
                <w:sz w:val="16"/>
                <w:szCs w:val="16"/>
              </w:rPr>
              <w:t> </w:t>
            </w:r>
          </w:p>
        </w:tc>
        <w:tc>
          <w:tcPr>
            <w:tcW w:w="2640" w:type="dxa"/>
            <w:gridSpan w:val="3"/>
            <w:tcBorders>
              <w:top w:val="single" w:sz="4" w:space="0" w:color="auto"/>
              <w:left w:val="nil"/>
              <w:bottom w:val="single" w:sz="4" w:space="0" w:color="auto"/>
              <w:right w:val="nil"/>
            </w:tcBorders>
            <w:shd w:val="clear" w:color="auto" w:fill="auto"/>
            <w:noWrap/>
            <w:vAlign w:val="bottom"/>
            <w:hideMark/>
          </w:tcPr>
          <w:p w:rsidR="00512AB2" w:rsidRPr="008E18D6" w:rsidRDefault="00512AB2" w:rsidP="00601306">
            <w:pPr>
              <w:spacing w:after="0" w:line="240" w:lineRule="auto"/>
              <w:jc w:val="center"/>
              <w:rPr>
                <w:rFonts w:ascii="Calibri" w:eastAsia="Times New Roman" w:hAnsi="Calibri" w:cs="Calibri"/>
                <w:b/>
                <w:bCs/>
                <w:i/>
                <w:iCs/>
                <w:szCs w:val="20"/>
              </w:rPr>
            </w:pPr>
            <w:r w:rsidRPr="008E18D6">
              <w:rPr>
                <w:rFonts w:ascii="Calibri" w:eastAsia="Times New Roman" w:hAnsi="Calibri" w:cs="Calibri"/>
                <w:b/>
                <w:bCs/>
                <w:i/>
                <w:iCs/>
                <w:szCs w:val="20"/>
              </w:rPr>
              <w:t>Raggruppamenti di strutture</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rPr>
                <w:rFonts w:ascii="Calibri" w:eastAsia="Times New Roman" w:hAnsi="Calibri" w:cs="Calibri"/>
                <w:sz w:val="16"/>
                <w:szCs w:val="16"/>
              </w:rPr>
            </w:pPr>
            <w:r w:rsidRPr="008E18D6">
              <w:rPr>
                <w:rFonts w:ascii="Calibri" w:eastAsia="Times New Roman" w:hAnsi="Calibri" w:cs="Calibri"/>
                <w:sz w:val="16"/>
                <w:szCs w:val="16"/>
              </w:rPr>
              <w:t> </w:t>
            </w:r>
          </w:p>
        </w:tc>
      </w:tr>
      <w:tr w:rsidR="00512AB2" w:rsidRPr="008E18D6" w:rsidTr="00601306">
        <w:trPr>
          <w:trHeight w:val="555"/>
        </w:trPr>
        <w:tc>
          <w:tcPr>
            <w:tcW w:w="5260" w:type="dxa"/>
            <w:tcBorders>
              <w:top w:val="single" w:sz="4" w:space="0" w:color="auto"/>
              <w:left w:val="single" w:sz="4" w:space="0" w:color="auto"/>
              <w:bottom w:val="single" w:sz="4" w:space="0" w:color="auto"/>
              <w:right w:val="single" w:sz="4" w:space="0" w:color="auto"/>
            </w:tcBorders>
            <w:shd w:val="clear" w:color="000000" w:fill="95B3D7"/>
            <w:noWrap/>
            <w:vAlign w:val="bottom"/>
            <w:hideMark/>
          </w:tcPr>
          <w:p w:rsidR="00512AB2" w:rsidRPr="008E18D6" w:rsidRDefault="00512AB2" w:rsidP="00601306">
            <w:pPr>
              <w:spacing w:after="0" w:line="240" w:lineRule="auto"/>
              <w:rPr>
                <w:rFonts w:ascii="Calibri" w:eastAsia="Times New Roman" w:hAnsi="Calibri" w:cs="Calibri"/>
                <w:b/>
                <w:bCs/>
                <w:sz w:val="18"/>
                <w:szCs w:val="18"/>
              </w:rPr>
            </w:pPr>
            <w:r w:rsidRPr="008E18D6">
              <w:rPr>
                <w:rFonts w:ascii="Calibri" w:eastAsia="Times New Roman" w:hAnsi="Calibri" w:cs="Calibri"/>
                <w:b/>
                <w:bCs/>
                <w:sz w:val="18"/>
                <w:szCs w:val="18"/>
              </w:rPr>
              <w:t>Personale suddiviso per Categoria/area/genere</w:t>
            </w:r>
          </w:p>
        </w:tc>
        <w:tc>
          <w:tcPr>
            <w:tcW w:w="851" w:type="dxa"/>
            <w:tcBorders>
              <w:top w:val="single" w:sz="4" w:space="0" w:color="auto"/>
              <w:left w:val="single" w:sz="4" w:space="0" w:color="auto"/>
              <w:bottom w:val="single" w:sz="4" w:space="0" w:color="auto"/>
              <w:right w:val="single" w:sz="4" w:space="0" w:color="auto"/>
            </w:tcBorders>
            <w:shd w:val="clear" w:color="000000" w:fill="95B3D7"/>
            <w:noWrap/>
            <w:vAlign w:val="center"/>
            <w:hideMark/>
          </w:tcPr>
          <w:p w:rsidR="00512AB2" w:rsidRPr="008E18D6" w:rsidRDefault="00512AB2" w:rsidP="00601306">
            <w:pPr>
              <w:spacing w:after="0" w:line="240" w:lineRule="auto"/>
              <w:rPr>
                <w:rFonts w:ascii="Calibri" w:eastAsia="Times New Roman" w:hAnsi="Calibri" w:cs="Calibri"/>
                <w:b/>
                <w:bCs/>
                <w:sz w:val="18"/>
                <w:szCs w:val="18"/>
              </w:rPr>
            </w:pPr>
            <w:r w:rsidRPr="008E18D6">
              <w:rPr>
                <w:rFonts w:ascii="Calibri" w:eastAsia="Times New Roman" w:hAnsi="Calibri" w:cs="Calibri"/>
                <w:b/>
                <w:bCs/>
                <w:sz w:val="18"/>
                <w:szCs w:val="18"/>
              </w:rPr>
              <w:t>DirezionI</w:t>
            </w:r>
          </w:p>
        </w:tc>
        <w:tc>
          <w:tcPr>
            <w:tcW w:w="588" w:type="dxa"/>
            <w:tcBorders>
              <w:top w:val="single" w:sz="4" w:space="0" w:color="auto"/>
              <w:left w:val="single" w:sz="4" w:space="0" w:color="auto"/>
              <w:bottom w:val="single" w:sz="4" w:space="0" w:color="auto"/>
              <w:right w:val="single" w:sz="4" w:space="0" w:color="auto"/>
            </w:tcBorders>
            <w:shd w:val="clear" w:color="000000" w:fill="95B3D7"/>
            <w:noWrap/>
            <w:vAlign w:val="center"/>
            <w:hideMark/>
          </w:tcPr>
          <w:p w:rsidR="00512AB2" w:rsidRPr="008E18D6" w:rsidRDefault="00512AB2" w:rsidP="00601306">
            <w:pPr>
              <w:spacing w:after="0" w:line="240" w:lineRule="auto"/>
              <w:rPr>
                <w:rFonts w:ascii="Calibri" w:eastAsia="Times New Roman" w:hAnsi="Calibri" w:cs="Calibri"/>
                <w:b/>
                <w:bCs/>
                <w:sz w:val="18"/>
                <w:szCs w:val="18"/>
              </w:rPr>
            </w:pPr>
            <w:r w:rsidRPr="008E18D6">
              <w:rPr>
                <w:rFonts w:ascii="Calibri" w:eastAsia="Times New Roman" w:hAnsi="Calibri" w:cs="Calibri"/>
                <w:b/>
                <w:bCs/>
                <w:sz w:val="18"/>
                <w:szCs w:val="18"/>
              </w:rPr>
              <w:t>Centri</w:t>
            </w:r>
          </w:p>
        </w:tc>
        <w:tc>
          <w:tcPr>
            <w:tcW w:w="1201" w:type="dxa"/>
            <w:tcBorders>
              <w:top w:val="single" w:sz="4" w:space="0" w:color="auto"/>
              <w:left w:val="single" w:sz="4" w:space="0" w:color="auto"/>
              <w:bottom w:val="single" w:sz="4" w:space="0" w:color="auto"/>
              <w:right w:val="single" w:sz="4" w:space="0" w:color="auto"/>
            </w:tcBorders>
            <w:shd w:val="clear" w:color="000000" w:fill="95B3D7"/>
            <w:noWrap/>
            <w:vAlign w:val="center"/>
            <w:hideMark/>
          </w:tcPr>
          <w:p w:rsidR="00512AB2" w:rsidRPr="008E18D6" w:rsidRDefault="00512AB2" w:rsidP="00601306">
            <w:pPr>
              <w:spacing w:after="0" w:line="240" w:lineRule="auto"/>
              <w:rPr>
                <w:rFonts w:ascii="Calibri" w:eastAsia="Times New Roman" w:hAnsi="Calibri" w:cs="Calibri"/>
                <w:b/>
                <w:bCs/>
                <w:sz w:val="18"/>
                <w:szCs w:val="18"/>
              </w:rPr>
            </w:pPr>
            <w:r w:rsidRPr="008E18D6">
              <w:rPr>
                <w:rFonts w:ascii="Calibri" w:eastAsia="Times New Roman" w:hAnsi="Calibri" w:cs="Calibri"/>
                <w:b/>
                <w:bCs/>
                <w:sz w:val="18"/>
                <w:szCs w:val="18"/>
              </w:rPr>
              <w:t>DipartimentI</w:t>
            </w:r>
          </w:p>
        </w:tc>
        <w:tc>
          <w:tcPr>
            <w:tcW w:w="1180" w:type="dxa"/>
            <w:tcBorders>
              <w:top w:val="single" w:sz="4" w:space="0" w:color="auto"/>
              <w:left w:val="single" w:sz="4" w:space="0" w:color="auto"/>
              <w:bottom w:val="single" w:sz="4" w:space="0" w:color="auto"/>
              <w:right w:val="single" w:sz="4" w:space="0" w:color="auto"/>
            </w:tcBorders>
            <w:shd w:val="clear" w:color="000000" w:fill="95B3D7"/>
            <w:vAlign w:val="center"/>
            <w:hideMark/>
          </w:tcPr>
          <w:p w:rsidR="00512AB2" w:rsidRPr="008E18D6" w:rsidRDefault="00512AB2" w:rsidP="00601306">
            <w:pPr>
              <w:spacing w:after="0" w:line="240" w:lineRule="auto"/>
              <w:rPr>
                <w:rFonts w:ascii="Calibri" w:eastAsia="Times New Roman" w:hAnsi="Calibri" w:cs="Calibri"/>
                <w:b/>
                <w:bCs/>
                <w:sz w:val="18"/>
                <w:szCs w:val="18"/>
              </w:rPr>
            </w:pPr>
            <w:r w:rsidRPr="008E18D6">
              <w:rPr>
                <w:rFonts w:ascii="Calibri" w:eastAsia="Times New Roman" w:hAnsi="Calibri" w:cs="Calibri"/>
                <w:b/>
                <w:bCs/>
                <w:sz w:val="18"/>
                <w:szCs w:val="18"/>
              </w:rPr>
              <w:t>Totale Personale</w:t>
            </w:r>
          </w:p>
        </w:tc>
      </w:tr>
      <w:tr w:rsidR="00512AB2" w:rsidRPr="008E18D6" w:rsidTr="00601306">
        <w:trPr>
          <w:trHeight w:val="300"/>
        </w:trPr>
        <w:tc>
          <w:tcPr>
            <w:tcW w:w="5260" w:type="dxa"/>
            <w:tcBorders>
              <w:top w:val="single" w:sz="4" w:space="0" w:color="auto"/>
              <w:left w:val="single" w:sz="4" w:space="0" w:color="auto"/>
              <w:bottom w:val="single" w:sz="4" w:space="0" w:color="auto"/>
              <w:right w:val="single" w:sz="4" w:space="0" w:color="auto"/>
            </w:tcBorders>
            <w:shd w:val="clear" w:color="000000" w:fill="95B3D7"/>
            <w:noWrap/>
            <w:vAlign w:val="bottom"/>
            <w:hideMark/>
          </w:tcPr>
          <w:p w:rsidR="00512AB2" w:rsidRPr="008E18D6" w:rsidRDefault="00512AB2" w:rsidP="00601306">
            <w:pPr>
              <w:spacing w:after="0" w:line="240" w:lineRule="auto"/>
              <w:rPr>
                <w:rFonts w:ascii="Calibri" w:eastAsia="Times New Roman" w:hAnsi="Calibri" w:cs="Calibri"/>
                <w:b/>
                <w:bCs/>
                <w:sz w:val="18"/>
                <w:szCs w:val="18"/>
              </w:rPr>
            </w:pPr>
            <w:r w:rsidRPr="008E18D6">
              <w:rPr>
                <w:rFonts w:ascii="Calibri" w:eastAsia="Times New Roman" w:hAnsi="Calibri" w:cs="Calibri"/>
                <w:b/>
                <w:bCs/>
                <w:sz w:val="18"/>
                <w:szCs w:val="18"/>
              </w:rPr>
              <w:t>Totale parziale femmine</w:t>
            </w:r>
          </w:p>
        </w:tc>
        <w:tc>
          <w:tcPr>
            <w:tcW w:w="851" w:type="dxa"/>
            <w:tcBorders>
              <w:top w:val="single" w:sz="4" w:space="0" w:color="auto"/>
              <w:left w:val="single" w:sz="4" w:space="0" w:color="auto"/>
              <w:bottom w:val="single" w:sz="4" w:space="0" w:color="auto"/>
              <w:right w:val="single" w:sz="4" w:space="0" w:color="auto"/>
            </w:tcBorders>
            <w:shd w:val="clear" w:color="000000" w:fill="95B3D7"/>
            <w:noWrap/>
            <w:vAlign w:val="bottom"/>
            <w:hideMark/>
          </w:tcPr>
          <w:p w:rsidR="00512AB2" w:rsidRPr="008E18D6" w:rsidRDefault="00512AB2" w:rsidP="00601306">
            <w:pPr>
              <w:spacing w:after="0" w:line="240" w:lineRule="auto"/>
              <w:jc w:val="right"/>
              <w:rPr>
                <w:rFonts w:ascii="Calibri" w:eastAsia="Times New Roman" w:hAnsi="Calibri" w:cs="Calibri"/>
                <w:b/>
                <w:bCs/>
                <w:sz w:val="18"/>
                <w:szCs w:val="18"/>
              </w:rPr>
            </w:pPr>
            <w:r w:rsidRPr="008E18D6">
              <w:rPr>
                <w:rFonts w:ascii="Calibri" w:eastAsia="Times New Roman" w:hAnsi="Calibri" w:cs="Calibri"/>
                <w:b/>
                <w:bCs/>
                <w:sz w:val="18"/>
                <w:szCs w:val="18"/>
              </w:rPr>
              <w:t>644</w:t>
            </w:r>
          </w:p>
        </w:tc>
        <w:tc>
          <w:tcPr>
            <w:tcW w:w="588" w:type="dxa"/>
            <w:tcBorders>
              <w:top w:val="single" w:sz="4" w:space="0" w:color="auto"/>
              <w:left w:val="single" w:sz="4" w:space="0" w:color="auto"/>
              <w:bottom w:val="single" w:sz="4" w:space="0" w:color="auto"/>
              <w:right w:val="single" w:sz="4" w:space="0" w:color="auto"/>
            </w:tcBorders>
            <w:shd w:val="clear" w:color="000000" w:fill="95B3D7"/>
            <w:noWrap/>
            <w:vAlign w:val="bottom"/>
            <w:hideMark/>
          </w:tcPr>
          <w:p w:rsidR="00512AB2" w:rsidRPr="008E18D6" w:rsidRDefault="00512AB2" w:rsidP="00601306">
            <w:pPr>
              <w:spacing w:after="0" w:line="240" w:lineRule="auto"/>
              <w:jc w:val="right"/>
              <w:rPr>
                <w:rFonts w:ascii="Calibri" w:eastAsia="Times New Roman" w:hAnsi="Calibri" w:cs="Calibri"/>
                <w:b/>
                <w:bCs/>
                <w:sz w:val="18"/>
                <w:szCs w:val="18"/>
              </w:rPr>
            </w:pPr>
            <w:r w:rsidRPr="008E18D6">
              <w:rPr>
                <w:rFonts w:ascii="Calibri" w:eastAsia="Times New Roman" w:hAnsi="Calibri" w:cs="Calibri"/>
                <w:b/>
                <w:bCs/>
                <w:sz w:val="18"/>
                <w:szCs w:val="18"/>
              </w:rPr>
              <w:t>56</w:t>
            </w:r>
          </w:p>
        </w:tc>
        <w:tc>
          <w:tcPr>
            <w:tcW w:w="1201" w:type="dxa"/>
            <w:tcBorders>
              <w:top w:val="single" w:sz="4" w:space="0" w:color="auto"/>
              <w:left w:val="single" w:sz="4" w:space="0" w:color="auto"/>
              <w:bottom w:val="single" w:sz="4" w:space="0" w:color="auto"/>
              <w:right w:val="single" w:sz="4" w:space="0" w:color="auto"/>
            </w:tcBorders>
            <w:shd w:val="clear" w:color="000000" w:fill="95B3D7"/>
            <w:noWrap/>
            <w:vAlign w:val="bottom"/>
            <w:hideMark/>
          </w:tcPr>
          <w:p w:rsidR="00512AB2" w:rsidRPr="008E18D6" w:rsidRDefault="00512AB2" w:rsidP="00601306">
            <w:pPr>
              <w:spacing w:after="0" w:line="240" w:lineRule="auto"/>
              <w:jc w:val="right"/>
              <w:rPr>
                <w:rFonts w:ascii="Calibri" w:eastAsia="Times New Roman" w:hAnsi="Calibri" w:cs="Calibri"/>
                <w:b/>
                <w:bCs/>
                <w:sz w:val="18"/>
                <w:szCs w:val="18"/>
              </w:rPr>
            </w:pPr>
            <w:r w:rsidRPr="008E18D6">
              <w:rPr>
                <w:rFonts w:ascii="Calibri" w:eastAsia="Times New Roman" w:hAnsi="Calibri" w:cs="Calibri"/>
                <w:b/>
                <w:bCs/>
                <w:sz w:val="18"/>
                <w:szCs w:val="18"/>
              </w:rPr>
              <w:t>570</w:t>
            </w:r>
          </w:p>
        </w:tc>
        <w:tc>
          <w:tcPr>
            <w:tcW w:w="1180" w:type="dxa"/>
            <w:tcBorders>
              <w:top w:val="single" w:sz="4" w:space="0" w:color="auto"/>
              <w:left w:val="single" w:sz="4" w:space="0" w:color="auto"/>
              <w:bottom w:val="single" w:sz="4" w:space="0" w:color="auto"/>
              <w:right w:val="single" w:sz="4" w:space="0" w:color="auto"/>
            </w:tcBorders>
            <w:shd w:val="clear" w:color="000000" w:fill="95B3D7"/>
            <w:noWrap/>
            <w:vAlign w:val="bottom"/>
            <w:hideMark/>
          </w:tcPr>
          <w:p w:rsidR="00512AB2" w:rsidRPr="008E18D6" w:rsidRDefault="00512AB2" w:rsidP="00601306">
            <w:pPr>
              <w:spacing w:after="0" w:line="240" w:lineRule="auto"/>
              <w:jc w:val="right"/>
              <w:rPr>
                <w:rFonts w:ascii="Calibri" w:eastAsia="Times New Roman" w:hAnsi="Calibri" w:cs="Calibri"/>
                <w:b/>
                <w:bCs/>
                <w:sz w:val="18"/>
                <w:szCs w:val="18"/>
              </w:rPr>
            </w:pPr>
            <w:r w:rsidRPr="008E18D6">
              <w:rPr>
                <w:rFonts w:ascii="Calibri" w:eastAsia="Times New Roman" w:hAnsi="Calibri" w:cs="Calibri"/>
                <w:b/>
                <w:bCs/>
                <w:sz w:val="18"/>
                <w:szCs w:val="18"/>
              </w:rPr>
              <w:t>1270</w:t>
            </w:r>
          </w:p>
        </w:tc>
      </w:tr>
      <w:tr w:rsidR="00512AB2" w:rsidRPr="008E18D6" w:rsidTr="0060130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ind w:firstLineChars="100" w:firstLine="160"/>
              <w:rPr>
                <w:rFonts w:ascii="Calibri" w:eastAsia="Times New Roman" w:hAnsi="Calibri" w:cs="Calibri"/>
                <w:b/>
                <w:bCs/>
                <w:sz w:val="16"/>
                <w:szCs w:val="16"/>
              </w:rPr>
            </w:pPr>
            <w:r w:rsidRPr="008E18D6">
              <w:rPr>
                <w:rFonts w:ascii="Calibri" w:eastAsia="Times New Roman" w:hAnsi="Calibri" w:cs="Calibri"/>
                <w:b/>
                <w:bCs/>
                <w:sz w:val="16"/>
                <w:szCs w:val="16"/>
              </w:rPr>
              <w:t>Categoria B - Area amministrativa</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jc w:val="right"/>
              <w:rPr>
                <w:rFonts w:ascii="Calibri" w:eastAsia="Times New Roman" w:hAnsi="Calibri" w:cs="Calibri"/>
                <w:b/>
                <w:bCs/>
                <w:sz w:val="16"/>
                <w:szCs w:val="16"/>
              </w:rPr>
            </w:pPr>
            <w:r w:rsidRPr="008E18D6">
              <w:rPr>
                <w:rFonts w:ascii="Calibri" w:eastAsia="Times New Roman" w:hAnsi="Calibri" w:cs="Calibri"/>
                <w:b/>
                <w:bCs/>
                <w:sz w:val="16"/>
                <w:szCs w:val="16"/>
              </w:rPr>
              <w:t>25</w:t>
            </w:r>
          </w:p>
        </w:tc>
        <w:tc>
          <w:tcPr>
            <w:tcW w:w="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jc w:val="right"/>
              <w:rPr>
                <w:rFonts w:ascii="Calibri" w:eastAsia="Times New Roman" w:hAnsi="Calibri" w:cs="Calibri"/>
                <w:b/>
                <w:bCs/>
                <w:sz w:val="16"/>
                <w:szCs w:val="16"/>
              </w:rPr>
            </w:pPr>
            <w:r w:rsidRPr="008E18D6">
              <w:rPr>
                <w:rFonts w:ascii="Calibri" w:eastAsia="Times New Roman" w:hAnsi="Calibri" w:cs="Calibri"/>
                <w:b/>
                <w:bCs/>
                <w:sz w:val="16"/>
                <w:szCs w:val="16"/>
              </w:rPr>
              <w:t>2</w:t>
            </w:r>
          </w:p>
        </w:tc>
        <w:tc>
          <w:tcPr>
            <w:tcW w:w="1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jc w:val="right"/>
              <w:rPr>
                <w:rFonts w:ascii="Calibri" w:eastAsia="Times New Roman" w:hAnsi="Calibri" w:cs="Calibri"/>
                <w:b/>
                <w:bCs/>
                <w:sz w:val="16"/>
                <w:szCs w:val="16"/>
              </w:rPr>
            </w:pPr>
            <w:r w:rsidRPr="008E18D6">
              <w:rPr>
                <w:rFonts w:ascii="Calibri" w:eastAsia="Times New Roman" w:hAnsi="Calibri" w:cs="Calibri"/>
                <w:b/>
                <w:bCs/>
                <w:sz w:val="16"/>
                <w:szCs w:val="16"/>
              </w:rPr>
              <w:t>28</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jc w:val="right"/>
              <w:rPr>
                <w:rFonts w:ascii="Calibri" w:eastAsia="Times New Roman" w:hAnsi="Calibri" w:cs="Calibri"/>
                <w:b/>
                <w:bCs/>
                <w:sz w:val="16"/>
                <w:szCs w:val="16"/>
              </w:rPr>
            </w:pPr>
            <w:r w:rsidRPr="008E18D6">
              <w:rPr>
                <w:rFonts w:ascii="Calibri" w:eastAsia="Times New Roman" w:hAnsi="Calibri" w:cs="Calibri"/>
                <w:b/>
                <w:bCs/>
                <w:sz w:val="16"/>
                <w:szCs w:val="16"/>
              </w:rPr>
              <w:t>55</w:t>
            </w:r>
          </w:p>
        </w:tc>
      </w:tr>
      <w:tr w:rsidR="00512AB2" w:rsidRPr="008E18D6" w:rsidTr="0060130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ind w:firstLineChars="100" w:firstLine="160"/>
              <w:rPr>
                <w:rFonts w:ascii="Calibri" w:eastAsia="Times New Roman" w:hAnsi="Calibri" w:cs="Calibri"/>
                <w:b/>
                <w:bCs/>
                <w:sz w:val="16"/>
                <w:szCs w:val="16"/>
              </w:rPr>
            </w:pPr>
            <w:r w:rsidRPr="008E18D6">
              <w:rPr>
                <w:rFonts w:ascii="Calibri" w:eastAsia="Times New Roman" w:hAnsi="Calibri" w:cs="Calibri"/>
                <w:b/>
                <w:bCs/>
                <w:sz w:val="16"/>
                <w:szCs w:val="16"/>
              </w:rPr>
              <w:t>Categoria B - Area servizi generali e tecnici</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jc w:val="right"/>
              <w:rPr>
                <w:rFonts w:ascii="Calibri" w:eastAsia="Times New Roman" w:hAnsi="Calibri" w:cs="Calibri"/>
                <w:b/>
                <w:bCs/>
                <w:sz w:val="16"/>
                <w:szCs w:val="16"/>
              </w:rPr>
            </w:pPr>
            <w:r w:rsidRPr="008E18D6">
              <w:rPr>
                <w:rFonts w:ascii="Calibri" w:eastAsia="Times New Roman" w:hAnsi="Calibri" w:cs="Calibri"/>
                <w:b/>
                <w:bCs/>
                <w:sz w:val="16"/>
                <w:szCs w:val="16"/>
              </w:rPr>
              <w:t>78</w:t>
            </w:r>
          </w:p>
        </w:tc>
        <w:tc>
          <w:tcPr>
            <w:tcW w:w="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jc w:val="right"/>
              <w:rPr>
                <w:rFonts w:ascii="Calibri" w:eastAsia="Times New Roman" w:hAnsi="Calibri" w:cs="Calibri"/>
                <w:b/>
                <w:bCs/>
                <w:sz w:val="16"/>
                <w:szCs w:val="16"/>
              </w:rPr>
            </w:pPr>
            <w:r w:rsidRPr="008E18D6">
              <w:rPr>
                <w:rFonts w:ascii="Calibri" w:eastAsia="Times New Roman" w:hAnsi="Calibri" w:cs="Calibri"/>
                <w:b/>
                <w:bCs/>
                <w:sz w:val="16"/>
                <w:szCs w:val="16"/>
              </w:rPr>
              <w:t>1</w:t>
            </w:r>
          </w:p>
        </w:tc>
        <w:tc>
          <w:tcPr>
            <w:tcW w:w="1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jc w:val="right"/>
              <w:rPr>
                <w:rFonts w:ascii="Calibri" w:eastAsia="Times New Roman" w:hAnsi="Calibri" w:cs="Calibri"/>
                <w:b/>
                <w:bCs/>
                <w:sz w:val="16"/>
                <w:szCs w:val="16"/>
              </w:rPr>
            </w:pPr>
            <w:r w:rsidRPr="008E18D6">
              <w:rPr>
                <w:rFonts w:ascii="Calibri" w:eastAsia="Times New Roman" w:hAnsi="Calibri" w:cs="Calibri"/>
                <w:b/>
                <w:bCs/>
                <w:sz w:val="16"/>
                <w:szCs w:val="16"/>
              </w:rPr>
              <w:t>14</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jc w:val="right"/>
              <w:rPr>
                <w:rFonts w:ascii="Calibri" w:eastAsia="Times New Roman" w:hAnsi="Calibri" w:cs="Calibri"/>
                <w:b/>
                <w:bCs/>
                <w:sz w:val="16"/>
                <w:szCs w:val="16"/>
              </w:rPr>
            </w:pPr>
            <w:r w:rsidRPr="008E18D6">
              <w:rPr>
                <w:rFonts w:ascii="Calibri" w:eastAsia="Times New Roman" w:hAnsi="Calibri" w:cs="Calibri"/>
                <w:b/>
                <w:bCs/>
                <w:sz w:val="16"/>
                <w:szCs w:val="16"/>
              </w:rPr>
              <w:t>93</w:t>
            </w:r>
          </w:p>
        </w:tc>
      </w:tr>
      <w:tr w:rsidR="00512AB2" w:rsidRPr="008E18D6" w:rsidTr="0060130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ind w:firstLineChars="100" w:firstLine="160"/>
              <w:rPr>
                <w:rFonts w:ascii="Calibri" w:eastAsia="Times New Roman" w:hAnsi="Calibri" w:cs="Calibri"/>
                <w:b/>
                <w:bCs/>
                <w:sz w:val="16"/>
                <w:szCs w:val="16"/>
              </w:rPr>
            </w:pPr>
            <w:r w:rsidRPr="008E18D6">
              <w:rPr>
                <w:rFonts w:ascii="Calibri" w:eastAsia="Times New Roman" w:hAnsi="Calibri" w:cs="Calibri"/>
                <w:b/>
                <w:bCs/>
                <w:sz w:val="16"/>
                <w:szCs w:val="16"/>
              </w:rPr>
              <w:t>Categoria C - Area amministrativa</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jc w:val="right"/>
              <w:rPr>
                <w:rFonts w:ascii="Calibri" w:eastAsia="Times New Roman" w:hAnsi="Calibri" w:cs="Calibri"/>
                <w:b/>
                <w:bCs/>
                <w:sz w:val="16"/>
                <w:szCs w:val="16"/>
              </w:rPr>
            </w:pPr>
            <w:r w:rsidRPr="008E18D6">
              <w:rPr>
                <w:rFonts w:ascii="Calibri" w:eastAsia="Times New Roman" w:hAnsi="Calibri" w:cs="Calibri"/>
                <w:b/>
                <w:bCs/>
                <w:sz w:val="16"/>
                <w:szCs w:val="16"/>
              </w:rPr>
              <w:t>186</w:t>
            </w:r>
          </w:p>
        </w:tc>
        <w:tc>
          <w:tcPr>
            <w:tcW w:w="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jc w:val="right"/>
              <w:rPr>
                <w:rFonts w:ascii="Calibri" w:eastAsia="Times New Roman" w:hAnsi="Calibri" w:cs="Calibri"/>
                <w:b/>
                <w:bCs/>
                <w:sz w:val="16"/>
                <w:szCs w:val="16"/>
              </w:rPr>
            </w:pPr>
            <w:r w:rsidRPr="008E18D6">
              <w:rPr>
                <w:rFonts w:ascii="Calibri" w:eastAsia="Times New Roman" w:hAnsi="Calibri" w:cs="Calibri"/>
                <w:b/>
                <w:bCs/>
                <w:sz w:val="16"/>
                <w:szCs w:val="16"/>
              </w:rPr>
              <w:t>12</w:t>
            </w:r>
          </w:p>
        </w:tc>
        <w:tc>
          <w:tcPr>
            <w:tcW w:w="1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jc w:val="right"/>
              <w:rPr>
                <w:rFonts w:ascii="Calibri" w:eastAsia="Times New Roman" w:hAnsi="Calibri" w:cs="Calibri"/>
                <w:b/>
                <w:bCs/>
                <w:sz w:val="16"/>
                <w:szCs w:val="16"/>
              </w:rPr>
            </w:pPr>
            <w:r w:rsidRPr="008E18D6">
              <w:rPr>
                <w:rFonts w:ascii="Calibri" w:eastAsia="Times New Roman" w:hAnsi="Calibri" w:cs="Calibri"/>
                <w:b/>
                <w:bCs/>
                <w:sz w:val="16"/>
                <w:szCs w:val="16"/>
              </w:rPr>
              <w:t>195</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jc w:val="right"/>
              <w:rPr>
                <w:rFonts w:ascii="Calibri" w:eastAsia="Times New Roman" w:hAnsi="Calibri" w:cs="Calibri"/>
                <w:b/>
                <w:bCs/>
                <w:sz w:val="16"/>
                <w:szCs w:val="16"/>
              </w:rPr>
            </w:pPr>
            <w:r w:rsidRPr="008E18D6">
              <w:rPr>
                <w:rFonts w:ascii="Calibri" w:eastAsia="Times New Roman" w:hAnsi="Calibri" w:cs="Calibri"/>
                <w:b/>
                <w:bCs/>
                <w:sz w:val="16"/>
                <w:szCs w:val="16"/>
              </w:rPr>
              <w:t>393</w:t>
            </w:r>
          </w:p>
        </w:tc>
      </w:tr>
      <w:tr w:rsidR="00512AB2" w:rsidRPr="008E18D6" w:rsidTr="0060130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ind w:firstLineChars="100" w:firstLine="160"/>
              <w:rPr>
                <w:rFonts w:ascii="Calibri" w:eastAsia="Times New Roman" w:hAnsi="Calibri" w:cs="Calibri"/>
                <w:b/>
                <w:bCs/>
                <w:sz w:val="16"/>
                <w:szCs w:val="16"/>
              </w:rPr>
            </w:pPr>
            <w:r w:rsidRPr="008E18D6">
              <w:rPr>
                <w:rFonts w:ascii="Calibri" w:eastAsia="Times New Roman" w:hAnsi="Calibri" w:cs="Calibri"/>
                <w:b/>
                <w:bCs/>
                <w:sz w:val="16"/>
                <w:szCs w:val="16"/>
              </w:rPr>
              <w:t>Categoria C - Area biblioteche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jc w:val="right"/>
              <w:rPr>
                <w:rFonts w:ascii="Calibri" w:eastAsia="Times New Roman" w:hAnsi="Calibri" w:cs="Calibri"/>
                <w:b/>
                <w:bCs/>
                <w:sz w:val="16"/>
                <w:szCs w:val="16"/>
              </w:rPr>
            </w:pPr>
            <w:r w:rsidRPr="008E18D6">
              <w:rPr>
                <w:rFonts w:ascii="Calibri" w:eastAsia="Times New Roman" w:hAnsi="Calibri" w:cs="Calibri"/>
                <w:b/>
                <w:bCs/>
                <w:sz w:val="16"/>
                <w:szCs w:val="16"/>
              </w:rPr>
              <w:t>70</w:t>
            </w:r>
          </w:p>
        </w:tc>
        <w:tc>
          <w:tcPr>
            <w:tcW w:w="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rPr>
                <w:rFonts w:ascii="Calibri" w:eastAsia="Times New Roman" w:hAnsi="Calibri" w:cs="Calibri"/>
                <w:b/>
                <w:bCs/>
                <w:sz w:val="16"/>
                <w:szCs w:val="16"/>
              </w:rPr>
            </w:pPr>
            <w:r w:rsidRPr="008E18D6">
              <w:rPr>
                <w:rFonts w:ascii="Calibri" w:eastAsia="Times New Roman" w:hAnsi="Calibri" w:cs="Calibri"/>
                <w:b/>
                <w:bCs/>
                <w:sz w:val="16"/>
                <w:szCs w:val="16"/>
              </w:rPr>
              <w:t> </w:t>
            </w:r>
          </w:p>
        </w:tc>
        <w:tc>
          <w:tcPr>
            <w:tcW w:w="1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jc w:val="right"/>
              <w:rPr>
                <w:rFonts w:ascii="Calibri" w:eastAsia="Times New Roman" w:hAnsi="Calibri" w:cs="Calibri"/>
                <w:b/>
                <w:bCs/>
                <w:sz w:val="16"/>
                <w:szCs w:val="16"/>
              </w:rPr>
            </w:pPr>
            <w:r w:rsidRPr="008E18D6">
              <w:rPr>
                <w:rFonts w:ascii="Calibri" w:eastAsia="Times New Roman" w:hAnsi="Calibri" w:cs="Calibri"/>
                <w:b/>
                <w:bCs/>
                <w:sz w:val="16"/>
                <w:szCs w:val="16"/>
              </w:rPr>
              <w:t>1</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jc w:val="right"/>
              <w:rPr>
                <w:rFonts w:ascii="Calibri" w:eastAsia="Times New Roman" w:hAnsi="Calibri" w:cs="Calibri"/>
                <w:b/>
                <w:bCs/>
                <w:sz w:val="16"/>
                <w:szCs w:val="16"/>
              </w:rPr>
            </w:pPr>
            <w:r w:rsidRPr="008E18D6">
              <w:rPr>
                <w:rFonts w:ascii="Calibri" w:eastAsia="Times New Roman" w:hAnsi="Calibri" w:cs="Calibri"/>
                <w:b/>
                <w:bCs/>
                <w:sz w:val="16"/>
                <w:szCs w:val="16"/>
              </w:rPr>
              <w:t>71</w:t>
            </w:r>
          </w:p>
        </w:tc>
      </w:tr>
      <w:tr w:rsidR="00512AB2" w:rsidRPr="008E18D6" w:rsidTr="0060130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ind w:firstLineChars="100" w:firstLine="160"/>
              <w:rPr>
                <w:rFonts w:ascii="Calibri" w:eastAsia="Times New Roman" w:hAnsi="Calibri" w:cs="Calibri"/>
                <w:b/>
                <w:bCs/>
                <w:sz w:val="16"/>
                <w:szCs w:val="16"/>
              </w:rPr>
            </w:pPr>
            <w:r w:rsidRPr="008E18D6">
              <w:rPr>
                <w:rFonts w:ascii="Calibri" w:eastAsia="Times New Roman" w:hAnsi="Calibri" w:cs="Calibri"/>
                <w:b/>
                <w:bCs/>
                <w:sz w:val="16"/>
                <w:szCs w:val="16"/>
              </w:rPr>
              <w:t>Categoria C - Area socio-sanitaria</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rPr>
                <w:rFonts w:ascii="Calibri" w:eastAsia="Times New Roman" w:hAnsi="Calibri" w:cs="Calibri"/>
                <w:b/>
                <w:bCs/>
                <w:sz w:val="16"/>
                <w:szCs w:val="16"/>
              </w:rPr>
            </w:pPr>
            <w:r w:rsidRPr="008E18D6">
              <w:rPr>
                <w:rFonts w:ascii="Calibri" w:eastAsia="Times New Roman" w:hAnsi="Calibri" w:cs="Calibri"/>
                <w:b/>
                <w:bCs/>
                <w:sz w:val="16"/>
                <w:szCs w:val="16"/>
              </w:rPr>
              <w:t> </w:t>
            </w:r>
          </w:p>
        </w:tc>
        <w:tc>
          <w:tcPr>
            <w:tcW w:w="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rPr>
                <w:rFonts w:ascii="Calibri" w:eastAsia="Times New Roman" w:hAnsi="Calibri" w:cs="Calibri"/>
                <w:b/>
                <w:bCs/>
                <w:sz w:val="16"/>
                <w:szCs w:val="16"/>
              </w:rPr>
            </w:pPr>
            <w:r w:rsidRPr="008E18D6">
              <w:rPr>
                <w:rFonts w:ascii="Calibri" w:eastAsia="Times New Roman" w:hAnsi="Calibri" w:cs="Calibri"/>
                <w:b/>
                <w:bCs/>
                <w:sz w:val="16"/>
                <w:szCs w:val="16"/>
              </w:rPr>
              <w:t> </w:t>
            </w:r>
          </w:p>
        </w:tc>
        <w:tc>
          <w:tcPr>
            <w:tcW w:w="1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jc w:val="right"/>
              <w:rPr>
                <w:rFonts w:ascii="Calibri" w:eastAsia="Times New Roman" w:hAnsi="Calibri" w:cs="Calibri"/>
                <w:b/>
                <w:bCs/>
                <w:sz w:val="16"/>
                <w:szCs w:val="16"/>
              </w:rPr>
            </w:pPr>
            <w:r w:rsidRPr="008E18D6">
              <w:rPr>
                <w:rFonts w:ascii="Calibri" w:eastAsia="Times New Roman" w:hAnsi="Calibri" w:cs="Calibri"/>
                <w:b/>
                <w:bCs/>
                <w:sz w:val="16"/>
                <w:szCs w:val="16"/>
              </w:rPr>
              <w:t>8</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jc w:val="right"/>
              <w:rPr>
                <w:rFonts w:ascii="Calibri" w:eastAsia="Times New Roman" w:hAnsi="Calibri" w:cs="Calibri"/>
                <w:b/>
                <w:bCs/>
                <w:sz w:val="16"/>
                <w:szCs w:val="16"/>
              </w:rPr>
            </w:pPr>
            <w:r w:rsidRPr="008E18D6">
              <w:rPr>
                <w:rFonts w:ascii="Calibri" w:eastAsia="Times New Roman" w:hAnsi="Calibri" w:cs="Calibri"/>
                <w:b/>
                <w:bCs/>
                <w:sz w:val="16"/>
                <w:szCs w:val="16"/>
              </w:rPr>
              <w:t>8</w:t>
            </w:r>
          </w:p>
        </w:tc>
      </w:tr>
      <w:tr w:rsidR="00512AB2" w:rsidRPr="008E18D6" w:rsidTr="0060130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ind w:firstLineChars="100" w:firstLine="160"/>
              <w:rPr>
                <w:rFonts w:ascii="Calibri" w:eastAsia="Times New Roman" w:hAnsi="Calibri" w:cs="Calibri"/>
                <w:b/>
                <w:bCs/>
                <w:sz w:val="16"/>
                <w:szCs w:val="16"/>
              </w:rPr>
            </w:pPr>
            <w:r w:rsidRPr="008E18D6">
              <w:rPr>
                <w:rFonts w:ascii="Calibri" w:eastAsia="Times New Roman" w:hAnsi="Calibri" w:cs="Calibri"/>
                <w:b/>
                <w:bCs/>
                <w:sz w:val="16"/>
                <w:szCs w:val="16"/>
              </w:rPr>
              <w:t>Categoria C - Area tecnica, tecnico-scientifica ed elaborazione dati</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jc w:val="right"/>
              <w:rPr>
                <w:rFonts w:ascii="Calibri" w:eastAsia="Times New Roman" w:hAnsi="Calibri" w:cs="Calibri"/>
                <w:b/>
                <w:bCs/>
                <w:sz w:val="16"/>
                <w:szCs w:val="16"/>
              </w:rPr>
            </w:pPr>
            <w:r w:rsidRPr="008E18D6">
              <w:rPr>
                <w:rFonts w:ascii="Calibri" w:eastAsia="Times New Roman" w:hAnsi="Calibri" w:cs="Calibri"/>
                <w:b/>
                <w:bCs/>
                <w:sz w:val="16"/>
                <w:szCs w:val="16"/>
              </w:rPr>
              <w:t>15</w:t>
            </w:r>
          </w:p>
        </w:tc>
        <w:tc>
          <w:tcPr>
            <w:tcW w:w="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jc w:val="right"/>
              <w:rPr>
                <w:rFonts w:ascii="Calibri" w:eastAsia="Times New Roman" w:hAnsi="Calibri" w:cs="Calibri"/>
                <w:b/>
                <w:bCs/>
                <w:sz w:val="16"/>
                <w:szCs w:val="16"/>
              </w:rPr>
            </w:pPr>
            <w:r w:rsidRPr="008E18D6">
              <w:rPr>
                <w:rFonts w:ascii="Calibri" w:eastAsia="Times New Roman" w:hAnsi="Calibri" w:cs="Calibri"/>
                <w:b/>
                <w:bCs/>
                <w:sz w:val="16"/>
                <w:szCs w:val="16"/>
              </w:rPr>
              <w:t>7</w:t>
            </w:r>
          </w:p>
        </w:tc>
        <w:tc>
          <w:tcPr>
            <w:tcW w:w="1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jc w:val="right"/>
              <w:rPr>
                <w:rFonts w:ascii="Calibri" w:eastAsia="Times New Roman" w:hAnsi="Calibri" w:cs="Calibri"/>
                <w:b/>
                <w:bCs/>
                <w:sz w:val="16"/>
                <w:szCs w:val="16"/>
              </w:rPr>
            </w:pPr>
            <w:r w:rsidRPr="008E18D6">
              <w:rPr>
                <w:rFonts w:ascii="Calibri" w:eastAsia="Times New Roman" w:hAnsi="Calibri" w:cs="Calibri"/>
                <w:b/>
                <w:bCs/>
                <w:sz w:val="16"/>
                <w:szCs w:val="16"/>
              </w:rPr>
              <w:t>89</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jc w:val="right"/>
              <w:rPr>
                <w:rFonts w:ascii="Calibri" w:eastAsia="Times New Roman" w:hAnsi="Calibri" w:cs="Calibri"/>
                <w:b/>
                <w:bCs/>
                <w:sz w:val="16"/>
                <w:szCs w:val="16"/>
              </w:rPr>
            </w:pPr>
            <w:r w:rsidRPr="008E18D6">
              <w:rPr>
                <w:rFonts w:ascii="Calibri" w:eastAsia="Times New Roman" w:hAnsi="Calibri" w:cs="Calibri"/>
                <w:b/>
                <w:bCs/>
                <w:sz w:val="16"/>
                <w:szCs w:val="16"/>
              </w:rPr>
              <w:t>111</w:t>
            </w:r>
          </w:p>
        </w:tc>
      </w:tr>
      <w:tr w:rsidR="00512AB2" w:rsidRPr="008E18D6" w:rsidTr="0060130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ind w:firstLineChars="100" w:firstLine="160"/>
              <w:rPr>
                <w:rFonts w:ascii="Calibri" w:eastAsia="Times New Roman" w:hAnsi="Calibri" w:cs="Calibri"/>
                <w:b/>
                <w:bCs/>
                <w:sz w:val="16"/>
                <w:szCs w:val="16"/>
              </w:rPr>
            </w:pPr>
            <w:r w:rsidRPr="008E18D6">
              <w:rPr>
                <w:rFonts w:ascii="Calibri" w:eastAsia="Times New Roman" w:hAnsi="Calibri" w:cs="Calibri"/>
                <w:b/>
                <w:bCs/>
                <w:sz w:val="16"/>
                <w:szCs w:val="16"/>
              </w:rPr>
              <w:t>Categoria D - Area amministrativa-gestionale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jc w:val="right"/>
              <w:rPr>
                <w:rFonts w:ascii="Calibri" w:eastAsia="Times New Roman" w:hAnsi="Calibri" w:cs="Calibri"/>
                <w:b/>
                <w:bCs/>
                <w:sz w:val="16"/>
                <w:szCs w:val="16"/>
              </w:rPr>
            </w:pPr>
            <w:r w:rsidRPr="008E18D6">
              <w:rPr>
                <w:rFonts w:ascii="Calibri" w:eastAsia="Times New Roman" w:hAnsi="Calibri" w:cs="Calibri"/>
                <w:b/>
                <w:bCs/>
                <w:sz w:val="16"/>
                <w:szCs w:val="16"/>
              </w:rPr>
              <w:t>146</w:t>
            </w:r>
          </w:p>
        </w:tc>
        <w:tc>
          <w:tcPr>
            <w:tcW w:w="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jc w:val="right"/>
              <w:rPr>
                <w:rFonts w:ascii="Calibri" w:eastAsia="Times New Roman" w:hAnsi="Calibri" w:cs="Calibri"/>
                <w:b/>
                <w:bCs/>
                <w:sz w:val="16"/>
                <w:szCs w:val="16"/>
              </w:rPr>
            </w:pPr>
            <w:r w:rsidRPr="008E18D6">
              <w:rPr>
                <w:rFonts w:ascii="Calibri" w:eastAsia="Times New Roman" w:hAnsi="Calibri" w:cs="Calibri"/>
                <w:b/>
                <w:bCs/>
                <w:sz w:val="16"/>
                <w:szCs w:val="16"/>
              </w:rPr>
              <w:t>16</w:t>
            </w:r>
          </w:p>
        </w:tc>
        <w:tc>
          <w:tcPr>
            <w:tcW w:w="1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jc w:val="right"/>
              <w:rPr>
                <w:rFonts w:ascii="Calibri" w:eastAsia="Times New Roman" w:hAnsi="Calibri" w:cs="Calibri"/>
                <w:b/>
                <w:bCs/>
                <w:sz w:val="16"/>
                <w:szCs w:val="16"/>
              </w:rPr>
            </w:pPr>
            <w:r w:rsidRPr="008E18D6">
              <w:rPr>
                <w:rFonts w:ascii="Calibri" w:eastAsia="Times New Roman" w:hAnsi="Calibri" w:cs="Calibri"/>
                <w:b/>
                <w:bCs/>
                <w:sz w:val="16"/>
                <w:szCs w:val="16"/>
              </w:rPr>
              <w:t>72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jc w:val="right"/>
              <w:rPr>
                <w:rFonts w:ascii="Calibri" w:eastAsia="Times New Roman" w:hAnsi="Calibri" w:cs="Calibri"/>
                <w:b/>
                <w:bCs/>
                <w:sz w:val="16"/>
                <w:szCs w:val="16"/>
              </w:rPr>
            </w:pPr>
            <w:r w:rsidRPr="008E18D6">
              <w:rPr>
                <w:rFonts w:ascii="Calibri" w:eastAsia="Times New Roman" w:hAnsi="Calibri" w:cs="Calibri"/>
                <w:b/>
                <w:bCs/>
                <w:sz w:val="16"/>
                <w:szCs w:val="16"/>
              </w:rPr>
              <w:t>234</w:t>
            </w:r>
          </w:p>
        </w:tc>
      </w:tr>
      <w:tr w:rsidR="00512AB2" w:rsidRPr="008E18D6" w:rsidTr="0060130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ind w:firstLineChars="100" w:firstLine="160"/>
              <w:rPr>
                <w:rFonts w:ascii="Calibri" w:eastAsia="Times New Roman" w:hAnsi="Calibri" w:cs="Calibri"/>
                <w:b/>
                <w:bCs/>
                <w:sz w:val="16"/>
                <w:szCs w:val="16"/>
              </w:rPr>
            </w:pPr>
            <w:r w:rsidRPr="008E18D6">
              <w:rPr>
                <w:rFonts w:ascii="Calibri" w:eastAsia="Times New Roman" w:hAnsi="Calibri" w:cs="Calibri"/>
                <w:b/>
                <w:bCs/>
                <w:sz w:val="16"/>
                <w:szCs w:val="16"/>
              </w:rPr>
              <w:t>Categoria D - Area biblioteche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jc w:val="right"/>
              <w:rPr>
                <w:rFonts w:ascii="Calibri" w:eastAsia="Times New Roman" w:hAnsi="Calibri" w:cs="Calibri"/>
                <w:b/>
                <w:bCs/>
                <w:sz w:val="16"/>
                <w:szCs w:val="16"/>
              </w:rPr>
            </w:pPr>
            <w:r w:rsidRPr="008E18D6">
              <w:rPr>
                <w:rFonts w:ascii="Calibri" w:eastAsia="Times New Roman" w:hAnsi="Calibri" w:cs="Calibri"/>
                <w:b/>
                <w:bCs/>
                <w:sz w:val="16"/>
                <w:szCs w:val="16"/>
              </w:rPr>
              <w:t>32</w:t>
            </w:r>
          </w:p>
        </w:tc>
        <w:tc>
          <w:tcPr>
            <w:tcW w:w="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jc w:val="right"/>
              <w:rPr>
                <w:rFonts w:ascii="Calibri" w:eastAsia="Times New Roman" w:hAnsi="Calibri" w:cs="Calibri"/>
                <w:b/>
                <w:bCs/>
                <w:sz w:val="16"/>
                <w:szCs w:val="16"/>
              </w:rPr>
            </w:pPr>
            <w:r w:rsidRPr="008E18D6">
              <w:rPr>
                <w:rFonts w:ascii="Calibri" w:eastAsia="Times New Roman" w:hAnsi="Calibri" w:cs="Calibri"/>
                <w:b/>
                <w:bCs/>
                <w:sz w:val="16"/>
                <w:szCs w:val="16"/>
              </w:rPr>
              <w:t>3</w:t>
            </w:r>
          </w:p>
        </w:tc>
        <w:tc>
          <w:tcPr>
            <w:tcW w:w="1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rPr>
                <w:rFonts w:ascii="Calibri" w:eastAsia="Times New Roman" w:hAnsi="Calibri" w:cs="Calibri"/>
                <w:b/>
                <w:bCs/>
                <w:sz w:val="16"/>
                <w:szCs w:val="16"/>
              </w:rPr>
            </w:pPr>
            <w:r w:rsidRPr="008E18D6">
              <w:rPr>
                <w:rFonts w:ascii="Calibri" w:eastAsia="Times New Roman" w:hAnsi="Calibri" w:cs="Calibri"/>
                <w:b/>
                <w:bCs/>
                <w:sz w:val="16"/>
                <w:szCs w:val="16"/>
              </w:rPr>
              <w:t> </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jc w:val="right"/>
              <w:rPr>
                <w:rFonts w:ascii="Calibri" w:eastAsia="Times New Roman" w:hAnsi="Calibri" w:cs="Calibri"/>
                <w:b/>
                <w:bCs/>
                <w:sz w:val="16"/>
                <w:szCs w:val="16"/>
              </w:rPr>
            </w:pPr>
            <w:r w:rsidRPr="008E18D6">
              <w:rPr>
                <w:rFonts w:ascii="Calibri" w:eastAsia="Times New Roman" w:hAnsi="Calibri" w:cs="Calibri"/>
                <w:b/>
                <w:bCs/>
                <w:sz w:val="16"/>
                <w:szCs w:val="16"/>
              </w:rPr>
              <w:t>35</w:t>
            </w:r>
          </w:p>
        </w:tc>
      </w:tr>
      <w:tr w:rsidR="00512AB2" w:rsidRPr="008E18D6" w:rsidTr="0060130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ind w:firstLineChars="100" w:firstLine="160"/>
              <w:rPr>
                <w:rFonts w:ascii="Calibri" w:eastAsia="Times New Roman" w:hAnsi="Calibri" w:cs="Calibri"/>
                <w:b/>
                <w:bCs/>
                <w:sz w:val="16"/>
                <w:szCs w:val="16"/>
              </w:rPr>
            </w:pPr>
            <w:r w:rsidRPr="008E18D6">
              <w:rPr>
                <w:rFonts w:ascii="Calibri" w:eastAsia="Times New Roman" w:hAnsi="Calibri" w:cs="Calibri"/>
                <w:b/>
                <w:bCs/>
                <w:sz w:val="16"/>
                <w:szCs w:val="16"/>
              </w:rPr>
              <w:t>Categoria D - Area socio-sanitaria</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rPr>
                <w:rFonts w:ascii="Calibri" w:eastAsia="Times New Roman" w:hAnsi="Calibri" w:cs="Calibri"/>
                <w:b/>
                <w:bCs/>
                <w:sz w:val="16"/>
                <w:szCs w:val="16"/>
              </w:rPr>
            </w:pPr>
            <w:r w:rsidRPr="008E18D6">
              <w:rPr>
                <w:rFonts w:ascii="Calibri" w:eastAsia="Times New Roman" w:hAnsi="Calibri" w:cs="Calibri"/>
                <w:b/>
                <w:bCs/>
                <w:sz w:val="16"/>
                <w:szCs w:val="16"/>
              </w:rPr>
              <w:t> </w:t>
            </w:r>
          </w:p>
        </w:tc>
        <w:tc>
          <w:tcPr>
            <w:tcW w:w="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rPr>
                <w:rFonts w:ascii="Calibri" w:eastAsia="Times New Roman" w:hAnsi="Calibri" w:cs="Calibri"/>
                <w:b/>
                <w:bCs/>
                <w:sz w:val="16"/>
                <w:szCs w:val="16"/>
              </w:rPr>
            </w:pPr>
            <w:r w:rsidRPr="008E18D6">
              <w:rPr>
                <w:rFonts w:ascii="Calibri" w:eastAsia="Times New Roman" w:hAnsi="Calibri" w:cs="Calibri"/>
                <w:b/>
                <w:bCs/>
                <w:sz w:val="16"/>
                <w:szCs w:val="16"/>
              </w:rPr>
              <w:t> </w:t>
            </w:r>
          </w:p>
        </w:tc>
        <w:tc>
          <w:tcPr>
            <w:tcW w:w="1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jc w:val="right"/>
              <w:rPr>
                <w:rFonts w:ascii="Calibri" w:eastAsia="Times New Roman" w:hAnsi="Calibri" w:cs="Calibri"/>
                <w:b/>
                <w:bCs/>
                <w:sz w:val="16"/>
                <w:szCs w:val="16"/>
              </w:rPr>
            </w:pPr>
            <w:r w:rsidRPr="008E18D6">
              <w:rPr>
                <w:rFonts w:ascii="Calibri" w:eastAsia="Times New Roman" w:hAnsi="Calibri" w:cs="Calibri"/>
                <w:b/>
                <w:bCs/>
                <w:sz w:val="16"/>
                <w:szCs w:val="16"/>
              </w:rPr>
              <w:t>5</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jc w:val="right"/>
              <w:rPr>
                <w:rFonts w:ascii="Calibri" w:eastAsia="Times New Roman" w:hAnsi="Calibri" w:cs="Calibri"/>
                <w:b/>
                <w:bCs/>
                <w:sz w:val="16"/>
                <w:szCs w:val="16"/>
              </w:rPr>
            </w:pPr>
            <w:r w:rsidRPr="008E18D6">
              <w:rPr>
                <w:rFonts w:ascii="Calibri" w:eastAsia="Times New Roman" w:hAnsi="Calibri" w:cs="Calibri"/>
                <w:b/>
                <w:bCs/>
                <w:sz w:val="16"/>
                <w:szCs w:val="16"/>
              </w:rPr>
              <w:t>5</w:t>
            </w:r>
          </w:p>
        </w:tc>
      </w:tr>
      <w:tr w:rsidR="00512AB2" w:rsidRPr="008E18D6" w:rsidTr="0060130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ind w:firstLineChars="100" w:firstLine="160"/>
              <w:rPr>
                <w:rFonts w:ascii="Calibri" w:eastAsia="Times New Roman" w:hAnsi="Calibri" w:cs="Calibri"/>
                <w:b/>
                <w:bCs/>
                <w:sz w:val="16"/>
                <w:szCs w:val="16"/>
              </w:rPr>
            </w:pPr>
            <w:r w:rsidRPr="008E18D6">
              <w:rPr>
                <w:rFonts w:ascii="Calibri" w:eastAsia="Times New Roman" w:hAnsi="Calibri" w:cs="Calibri"/>
                <w:b/>
                <w:bCs/>
                <w:sz w:val="16"/>
                <w:szCs w:val="16"/>
              </w:rPr>
              <w:t>Categoria D - Area tecnica, tecnico-scientifica ed elaborazione dati</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jc w:val="right"/>
              <w:rPr>
                <w:rFonts w:ascii="Calibri" w:eastAsia="Times New Roman" w:hAnsi="Calibri" w:cs="Calibri"/>
                <w:b/>
                <w:bCs/>
                <w:sz w:val="16"/>
                <w:szCs w:val="16"/>
              </w:rPr>
            </w:pPr>
            <w:r w:rsidRPr="008E18D6">
              <w:rPr>
                <w:rFonts w:ascii="Calibri" w:eastAsia="Times New Roman" w:hAnsi="Calibri" w:cs="Calibri"/>
                <w:b/>
                <w:bCs/>
                <w:sz w:val="16"/>
                <w:szCs w:val="16"/>
              </w:rPr>
              <w:t>35</w:t>
            </w:r>
          </w:p>
        </w:tc>
        <w:tc>
          <w:tcPr>
            <w:tcW w:w="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jc w:val="right"/>
              <w:rPr>
                <w:rFonts w:ascii="Calibri" w:eastAsia="Times New Roman" w:hAnsi="Calibri" w:cs="Calibri"/>
                <w:b/>
                <w:bCs/>
                <w:sz w:val="16"/>
                <w:szCs w:val="16"/>
              </w:rPr>
            </w:pPr>
            <w:r w:rsidRPr="008E18D6">
              <w:rPr>
                <w:rFonts w:ascii="Calibri" w:eastAsia="Times New Roman" w:hAnsi="Calibri" w:cs="Calibri"/>
                <w:b/>
                <w:bCs/>
                <w:sz w:val="16"/>
                <w:szCs w:val="16"/>
              </w:rPr>
              <w:t>13</w:t>
            </w:r>
          </w:p>
        </w:tc>
        <w:tc>
          <w:tcPr>
            <w:tcW w:w="1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jc w:val="right"/>
              <w:rPr>
                <w:rFonts w:ascii="Calibri" w:eastAsia="Times New Roman" w:hAnsi="Calibri" w:cs="Calibri"/>
                <w:b/>
                <w:bCs/>
                <w:sz w:val="16"/>
                <w:szCs w:val="16"/>
              </w:rPr>
            </w:pPr>
            <w:r w:rsidRPr="008E18D6">
              <w:rPr>
                <w:rFonts w:ascii="Calibri" w:eastAsia="Times New Roman" w:hAnsi="Calibri" w:cs="Calibri"/>
                <w:b/>
                <w:bCs/>
                <w:sz w:val="16"/>
                <w:szCs w:val="16"/>
              </w:rPr>
              <w:t>123</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jc w:val="right"/>
              <w:rPr>
                <w:rFonts w:ascii="Calibri" w:eastAsia="Times New Roman" w:hAnsi="Calibri" w:cs="Calibri"/>
                <w:b/>
                <w:bCs/>
                <w:sz w:val="16"/>
                <w:szCs w:val="16"/>
              </w:rPr>
            </w:pPr>
            <w:r w:rsidRPr="008E18D6">
              <w:rPr>
                <w:rFonts w:ascii="Calibri" w:eastAsia="Times New Roman" w:hAnsi="Calibri" w:cs="Calibri"/>
                <w:b/>
                <w:bCs/>
                <w:sz w:val="16"/>
                <w:szCs w:val="16"/>
              </w:rPr>
              <w:t>171</w:t>
            </w:r>
          </w:p>
        </w:tc>
      </w:tr>
      <w:tr w:rsidR="00512AB2" w:rsidRPr="008E18D6" w:rsidTr="0060130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ind w:firstLineChars="100" w:firstLine="160"/>
              <w:rPr>
                <w:rFonts w:ascii="Calibri" w:eastAsia="Times New Roman" w:hAnsi="Calibri" w:cs="Calibri"/>
                <w:b/>
                <w:bCs/>
                <w:sz w:val="16"/>
                <w:szCs w:val="16"/>
              </w:rPr>
            </w:pPr>
            <w:r w:rsidRPr="008E18D6">
              <w:rPr>
                <w:rFonts w:ascii="Calibri" w:eastAsia="Times New Roman" w:hAnsi="Calibri" w:cs="Calibri"/>
                <w:b/>
                <w:bCs/>
                <w:sz w:val="16"/>
                <w:szCs w:val="16"/>
              </w:rPr>
              <w:t>Categoria EP - Area biblioteche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jc w:val="right"/>
              <w:rPr>
                <w:rFonts w:ascii="Calibri" w:eastAsia="Times New Roman" w:hAnsi="Calibri" w:cs="Calibri"/>
                <w:b/>
                <w:bCs/>
                <w:sz w:val="16"/>
                <w:szCs w:val="16"/>
              </w:rPr>
            </w:pPr>
            <w:r w:rsidRPr="008E18D6">
              <w:rPr>
                <w:rFonts w:ascii="Calibri" w:eastAsia="Times New Roman" w:hAnsi="Calibri" w:cs="Calibri"/>
                <w:b/>
                <w:bCs/>
                <w:sz w:val="16"/>
                <w:szCs w:val="16"/>
              </w:rPr>
              <w:t>8</w:t>
            </w:r>
          </w:p>
        </w:tc>
        <w:tc>
          <w:tcPr>
            <w:tcW w:w="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rPr>
                <w:rFonts w:ascii="Calibri" w:eastAsia="Times New Roman" w:hAnsi="Calibri" w:cs="Calibri"/>
                <w:b/>
                <w:bCs/>
                <w:sz w:val="16"/>
                <w:szCs w:val="16"/>
              </w:rPr>
            </w:pPr>
            <w:r w:rsidRPr="008E18D6">
              <w:rPr>
                <w:rFonts w:ascii="Calibri" w:eastAsia="Times New Roman" w:hAnsi="Calibri" w:cs="Calibri"/>
                <w:b/>
                <w:bCs/>
                <w:sz w:val="16"/>
                <w:szCs w:val="16"/>
              </w:rPr>
              <w:t> </w:t>
            </w:r>
          </w:p>
        </w:tc>
        <w:tc>
          <w:tcPr>
            <w:tcW w:w="1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rPr>
                <w:rFonts w:ascii="Calibri" w:eastAsia="Times New Roman" w:hAnsi="Calibri" w:cs="Calibri"/>
                <w:b/>
                <w:bCs/>
                <w:sz w:val="16"/>
                <w:szCs w:val="16"/>
              </w:rPr>
            </w:pPr>
            <w:r w:rsidRPr="008E18D6">
              <w:rPr>
                <w:rFonts w:ascii="Calibri" w:eastAsia="Times New Roman" w:hAnsi="Calibri" w:cs="Calibri"/>
                <w:b/>
                <w:bCs/>
                <w:sz w:val="16"/>
                <w:szCs w:val="16"/>
              </w:rPr>
              <w:t> </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jc w:val="right"/>
              <w:rPr>
                <w:rFonts w:ascii="Calibri" w:eastAsia="Times New Roman" w:hAnsi="Calibri" w:cs="Calibri"/>
                <w:b/>
                <w:bCs/>
                <w:sz w:val="16"/>
                <w:szCs w:val="16"/>
              </w:rPr>
            </w:pPr>
            <w:r w:rsidRPr="008E18D6">
              <w:rPr>
                <w:rFonts w:ascii="Calibri" w:eastAsia="Times New Roman" w:hAnsi="Calibri" w:cs="Calibri"/>
                <w:b/>
                <w:bCs/>
                <w:sz w:val="16"/>
                <w:szCs w:val="16"/>
              </w:rPr>
              <w:t>8</w:t>
            </w:r>
          </w:p>
        </w:tc>
      </w:tr>
      <w:tr w:rsidR="00512AB2" w:rsidRPr="008E18D6" w:rsidTr="0060130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ind w:firstLineChars="100" w:firstLine="160"/>
              <w:rPr>
                <w:rFonts w:ascii="Calibri" w:eastAsia="Times New Roman" w:hAnsi="Calibri" w:cs="Calibri"/>
                <w:b/>
                <w:bCs/>
                <w:sz w:val="16"/>
                <w:szCs w:val="16"/>
              </w:rPr>
            </w:pPr>
            <w:r w:rsidRPr="008E18D6">
              <w:rPr>
                <w:rFonts w:ascii="Calibri" w:eastAsia="Times New Roman" w:hAnsi="Calibri" w:cs="Calibri"/>
                <w:b/>
                <w:bCs/>
                <w:sz w:val="16"/>
                <w:szCs w:val="16"/>
              </w:rPr>
              <w:t>Categoria EP - Area tecnica, tecnico-scientifica ed elaborazione dati</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jc w:val="right"/>
              <w:rPr>
                <w:rFonts w:ascii="Calibri" w:eastAsia="Times New Roman" w:hAnsi="Calibri" w:cs="Calibri"/>
                <w:b/>
                <w:bCs/>
                <w:sz w:val="16"/>
                <w:szCs w:val="16"/>
              </w:rPr>
            </w:pPr>
            <w:r w:rsidRPr="008E18D6">
              <w:rPr>
                <w:rFonts w:ascii="Calibri" w:eastAsia="Times New Roman" w:hAnsi="Calibri" w:cs="Calibri"/>
                <w:b/>
                <w:bCs/>
                <w:sz w:val="16"/>
                <w:szCs w:val="16"/>
              </w:rPr>
              <w:t>7</w:t>
            </w:r>
          </w:p>
        </w:tc>
        <w:tc>
          <w:tcPr>
            <w:tcW w:w="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jc w:val="right"/>
              <w:rPr>
                <w:rFonts w:ascii="Calibri" w:eastAsia="Times New Roman" w:hAnsi="Calibri" w:cs="Calibri"/>
                <w:b/>
                <w:bCs/>
                <w:sz w:val="16"/>
                <w:szCs w:val="16"/>
              </w:rPr>
            </w:pPr>
            <w:r w:rsidRPr="008E18D6">
              <w:rPr>
                <w:rFonts w:ascii="Calibri" w:eastAsia="Times New Roman" w:hAnsi="Calibri" w:cs="Calibri"/>
                <w:b/>
                <w:bCs/>
                <w:sz w:val="16"/>
                <w:szCs w:val="16"/>
              </w:rPr>
              <w:t>1</w:t>
            </w:r>
          </w:p>
        </w:tc>
        <w:tc>
          <w:tcPr>
            <w:tcW w:w="1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jc w:val="right"/>
              <w:rPr>
                <w:rFonts w:ascii="Calibri" w:eastAsia="Times New Roman" w:hAnsi="Calibri" w:cs="Calibri"/>
                <w:b/>
                <w:bCs/>
                <w:sz w:val="16"/>
                <w:szCs w:val="16"/>
              </w:rPr>
            </w:pPr>
            <w:r w:rsidRPr="008E18D6">
              <w:rPr>
                <w:rFonts w:ascii="Calibri" w:eastAsia="Times New Roman" w:hAnsi="Calibri" w:cs="Calibri"/>
                <w:b/>
                <w:bCs/>
                <w:sz w:val="16"/>
                <w:szCs w:val="16"/>
              </w:rPr>
              <w:t>5</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jc w:val="right"/>
              <w:rPr>
                <w:rFonts w:ascii="Calibri" w:eastAsia="Times New Roman" w:hAnsi="Calibri" w:cs="Calibri"/>
                <w:b/>
                <w:bCs/>
                <w:sz w:val="16"/>
                <w:szCs w:val="16"/>
              </w:rPr>
            </w:pPr>
            <w:r w:rsidRPr="008E18D6">
              <w:rPr>
                <w:rFonts w:ascii="Calibri" w:eastAsia="Times New Roman" w:hAnsi="Calibri" w:cs="Calibri"/>
                <w:b/>
                <w:bCs/>
                <w:sz w:val="16"/>
                <w:szCs w:val="16"/>
              </w:rPr>
              <w:t>13</w:t>
            </w:r>
          </w:p>
        </w:tc>
      </w:tr>
      <w:tr w:rsidR="00512AB2" w:rsidRPr="008E18D6" w:rsidTr="0060130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ind w:firstLineChars="100" w:firstLine="160"/>
              <w:rPr>
                <w:rFonts w:ascii="Calibri" w:eastAsia="Times New Roman" w:hAnsi="Calibri" w:cs="Calibri"/>
                <w:b/>
                <w:bCs/>
                <w:sz w:val="16"/>
                <w:szCs w:val="16"/>
              </w:rPr>
            </w:pPr>
            <w:r w:rsidRPr="008E18D6">
              <w:rPr>
                <w:rFonts w:ascii="Calibri" w:eastAsia="Times New Roman" w:hAnsi="Calibri" w:cs="Calibri"/>
                <w:b/>
                <w:bCs/>
                <w:sz w:val="16"/>
                <w:szCs w:val="16"/>
              </w:rPr>
              <w:t>Categoria EP- Area amministrativa-gestionale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jc w:val="right"/>
              <w:rPr>
                <w:rFonts w:ascii="Calibri" w:eastAsia="Times New Roman" w:hAnsi="Calibri" w:cs="Calibri"/>
                <w:b/>
                <w:bCs/>
                <w:sz w:val="16"/>
                <w:szCs w:val="16"/>
              </w:rPr>
            </w:pPr>
            <w:r w:rsidRPr="008E18D6">
              <w:rPr>
                <w:rFonts w:ascii="Calibri" w:eastAsia="Times New Roman" w:hAnsi="Calibri" w:cs="Calibri"/>
                <w:b/>
                <w:bCs/>
                <w:sz w:val="16"/>
                <w:szCs w:val="16"/>
              </w:rPr>
              <w:t>31</w:t>
            </w:r>
          </w:p>
        </w:tc>
        <w:tc>
          <w:tcPr>
            <w:tcW w:w="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jc w:val="right"/>
              <w:rPr>
                <w:rFonts w:ascii="Calibri" w:eastAsia="Times New Roman" w:hAnsi="Calibri" w:cs="Calibri"/>
                <w:b/>
                <w:bCs/>
                <w:sz w:val="16"/>
                <w:szCs w:val="16"/>
              </w:rPr>
            </w:pPr>
            <w:r w:rsidRPr="008E18D6">
              <w:rPr>
                <w:rFonts w:ascii="Calibri" w:eastAsia="Times New Roman" w:hAnsi="Calibri" w:cs="Calibri"/>
                <w:b/>
                <w:bCs/>
                <w:sz w:val="16"/>
                <w:szCs w:val="16"/>
              </w:rPr>
              <w:t>1</w:t>
            </w:r>
          </w:p>
        </w:tc>
        <w:tc>
          <w:tcPr>
            <w:tcW w:w="1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rPr>
                <w:rFonts w:ascii="Calibri" w:eastAsia="Times New Roman" w:hAnsi="Calibri" w:cs="Calibri"/>
                <w:b/>
                <w:bCs/>
                <w:sz w:val="16"/>
                <w:szCs w:val="16"/>
              </w:rPr>
            </w:pPr>
            <w:r w:rsidRPr="008E18D6">
              <w:rPr>
                <w:rFonts w:ascii="Calibri" w:eastAsia="Times New Roman" w:hAnsi="Calibri" w:cs="Calibri"/>
                <w:b/>
                <w:bCs/>
                <w:sz w:val="16"/>
                <w:szCs w:val="16"/>
              </w:rPr>
              <w:t> </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jc w:val="right"/>
              <w:rPr>
                <w:rFonts w:ascii="Calibri" w:eastAsia="Times New Roman" w:hAnsi="Calibri" w:cs="Calibri"/>
                <w:b/>
                <w:bCs/>
                <w:sz w:val="16"/>
                <w:szCs w:val="16"/>
              </w:rPr>
            </w:pPr>
            <w:r w:rsidRPr="008E18D6">
              <w:rPr>
                <w:rFonts w:ascii="Calibri" w:eastAsia="Times New Roman" w:hAnsi="Calibri" w:cs="Calibri"/>
                <w:b/>
                <w:bCs/>
                <w:sz w:val="16"/>
                <w:szCs w:val="16"/>
              </w:rPr>
              <w:t>32</w:t>
            </w:r>
          </w:p>
        </w:tc>
      </w:tr>
      <w:tr w:rsidR="00512AB2" w:rsidRPr="008E18D6" w:rsidTr="0060130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ind w:firstLineChars="100" w:firstLine="160"/>
              <w:rPr>
                <w:rFonts w:ascii="Calibri" w:eastAsia="Times New Roman" w:hAnsi="Calibri" w:cs="Calibri"/>
                <w:b/>
                <w:bCs/>
                <w:sz w:val="16"/>
                <w:szCs w:val="16"/>
              </w:rPr>
            </w:pPr>
            <w:r w:rsidRPr="008E18D6">
              <w:rPr>
                <w:rFonts w:ascii="Calibri" w:eastAsia="Times New Roman" w:hAnsi="Calibri" w:cs="Calibri"/>
                <w:b/>
                <w:bCs/>
                <w:sz w:val="16"/>
                <w:szCs w:val="16"/>
              </w:rPr>
              <w:t>Dirigente II fascia</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jc w:val="right"/>
              <w:rPr>
                <w:rFonts w:ascii="Calibri" w:eastAsia="Times New Roman" w:hAnsi="Calibri" w:cs="Calibri"/>
                <w:b/>
                <w:bCs/>
                <w:sz w:val="16"/>
                <w:szCs w:val="16"/>
              </w:rPr>
            </w:pPr>
            <w:r w:rsidRPr="008E18D6">
              <w:rPr>
                <w:rFonts w:ascii="Calibri" w:eastAsia="Times New Roman" w:hAnsi="Calibri" w:cs="Calibri"/>
                <w:b/>
                <w:bCs/>
                <w:sz w:val="16"/>
                <w:szCs w:val="16"/>
              </w:rPr>
              <w:t>4</w:t>
            </w:r>
          </w:p>
        </w:tc>
        <w:tc>
          <w:tcPr>
            <w:tcW w:w="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rPr>
                <w:rFonts w:ascii="Calibri" w:eastAsia="Times New Roman" w:hAnsi="Calibri" w:cs="Calibri"/>
                <w:b/>
                <w:bCs/>
                <w:sz w:val="16"/>
                <w:szCs w:val="16"/>
              </w:rPr>
            </w:pPr>
            <w:r w:rsidRPr="008E18D6">
              <w:rPr>
                <w:rFonts w:ascii="Calibri" w:eastAsia="Times New Roman" w:hAnsi="Calibri" w:cs="Calibri"/>
                <w:b/>
                <w:bCs/>
                <w:sz w:val="16"/>
                <w:szCs w:val="16"/>
              </w:rPr>
              <w:t> </w:t>
            </w:r>
          </w:p>
        </w:tc>
        <w:tc>
          <w:tcPr>
            <w:tcW w:w="1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rPr>
                <w:rFonts w:ascii="Calibri" w:eastAsia="Times New Roman" w:hAnsi="Calibri" w:cs="Calibri"/>
                <w:b/>
                <w:bCs/>
                <w:sz w:val="16"/>
                <w:szCs w:val="16"/>
              </w:rPr>
            </w:pPr>
            <w:r w:rsidRPr="008E18D6">
              <w:rPr>
                <w:rFonts w:ascii="Calibri" w:eastAsia="Times New Roman" w:hAnsi="Calibri" w:cs="Calibri"/>
                <w:b/>
                <w:bCs/>
                <w:sz w:val="16"/>
                <w:szCs w:val="16"/>
              </w:rPr>
              <w:t> </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jc w:val="right"/>
              <w:rPr>
                <w:rFonts w:ascii="Calibri" w:eastAsia="Times New Roman" w:hAnsi="Calibri" w:cs="Calibri"/>
                <w:b/>
                <w:bCs/>
                <w:sz w:val="16"/>
                <w:szCs w:val="16"/>
              </w:rPr>
            </w:pPr>
            <w:r w:rsidRPr="008E18D6">
              <w:rPr>
                <w:rFonts w:ascii="Calibri" w:eastAsia="Times New Roman" w:hAnsi="Calibri" w:cs="Calibri"/>
                <w:b/>
                <w:bCs/>
                <w:sz w:val="16"/>
                <w:szCs w:val="16"/>
              </w:rPr>
              <w:t>4</w:t>
            </w:r>
          </w:p>
        </w:tc>
      </w:tr>
      <w:tr w:rsidR="00512AB2" w:rsidRPr="008E18D6" w:rsidTr="0060130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ind w:firstLineChars="100" w:firstLine="160"/>
              <w:rPr>
                <w:rFonts w:ascii="Calibri" w:eastAsia="Times New Roman" w:hAnsi="Calibri" w:cs="Calibri"/>
                <w:b/>
                <w:bCs/>
                <w:sz w:val="16"/>
                <w:szCs w:val="16"/>
              </w:rPr>
            </w:pPr>
            <w:r w:rsidRPr="008E18D6">
              <w:rPr>
                <w:rFonts w:ascii="Calibri" w:eastAsia="Times New Roman" w:hAnsi="Calibri" w:cs="Calibri"/>
                <w:b/>
                <w:bCs/>
                <w:sz w:val="16"/>
                <w:szCs w:val="16"/>
              </w:rPr>
              <w:t>Tecnologo di I livello</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rPr>
                <w:rFonts w:ascii="Calibri" w:eastAsia="Times New Roman" w:hAnsi="Calibri" w:cs="Calibri"/>
                <w:b/>
                <w:bCs/>
                <w:sz w:val="16"/>
                <w:szCs w:val="16"/>
              </w:rPr>
            </w:pPr>
            <w:r w:rsidRPr="008E18D6">
              <w:rPr>
                <w:rFonts w:ascii="Calibri" w:eastAsia="Times New Roman" w:hAnsi="Calibri" w:cs="Calibri"/>
                <w:b/>
                <w:bCs/>
                <w:sz w:val="16"/>
                <w:szCs w:val="16"/>
              </w:rPr>
              <w:t> </w:t>
            </w:r>
          </w:p>
        </w:tc>
        <w:tc>
          <w:tcPr>
            <w:tcW w:w="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rPr>
                <w:rFonts w:ascii="Calibri" w:eastAsia="Times New Roman" w:hAnsi="Calibri" w:cs="Calibri"/>
                <w:b/>
                <w:bCs/>
                <w:sz w:val="16"/>
                <w:szCs w:val="16"/>
              </w:rPr>
            </w:pPr>
            <w:r w:rsidRPr="008E18D6">
              <w:rPr>
                <w:rFonts w:ascii="Calibri" w:eastAsia="Times New Roman" w:hAnsi="Calibri" w:cs="Calibri"/>
                <w:b/>
                <w:bCs/>
                <w:sz w:val="16"/>
                <w:szCs w:val="16"/>
              </w:rPr>
              <w:t> </w:t>
            </w:r>
          </w:p>
        </w:tc>
        <w:tc>
          <w:tcPr>
            <w:tcW w:w="1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jc w:val="right"/>
              <w:rPr>
                <w:rFonts w:ascii="Calibri" w:eastAsia="Times New Roman" w:hAnsi="Calibri" w:cs="Calibri"/>
                <w:b/>
                <w:bCs/>
                <w:sz w:val="16"/>
                <w:szCs w:val="16"/>
              </w:rPr>
            </w:pPr>
            <w:r w:rsidRPr="008E18D6">
              <w:rPr>
                <w:rFonts w:ascii="Calibri" w:eastAsia="Times New Roman" w:hAnsi="Calibri" w:cs="Calibri"/>
                <w:b/>
                <w:bCs/>
                <w:sz w:val="16"/>
                <w:szCs w:val="16"/>
              </w:rPr>
              <w:t>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jc w:val="right"/>
              <w:rPr>
                <w:rFonts w:ascii="Calibri" w:eastAsia="Times New Roman" w:hAnsi="Calibri" w:cs="Calibri"/>
                <w:b/>
                <w:bCs/>
                <w:sz w:val="16"/>
                <w:szCs w:val="16"/>
              </w:rPr>
            </w:pPr>
            <w:r w:rsidRPr="008E18D6">
              <w:rPr>
                <w:rFonts w:ascii="Calibri" w:eastAsia="Times New Roman" w:hAnsi="Calibri" w:cs="Calibri"/>
                <w:b/>
                <w:bCs/>
                <w:sz w:val="16"/>
                <w:szCs w:val="16"/>
              </w:rPr>
              <w:t>2</w:t>
            </w:r>
          </w:p>
        </w:tc>
      </w:tr>
      <w:tr w:rsidR="00512AB2" w:rsidRPr="008E18D6" w:rsidTr="0060130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ind w:firstLineChars="100" w:firstLine="160"/>
              <w:rPr>
                <w:rFonts w:ascii="Calibri" w:eastAsia="Times New Roman" w:hAnsi="Calibri" w:cs="Calibri"/>
                <w:b/>
                <w:bCs/>
                <w:sz w:val="16"/>
                <w:szCs w:val="16"/>
              </w:rPr>
            </w:pPr>
            <w:r w:rsidRPr="008E18D6">
              <w:rPr>
                <w:rFonts w:ascii="Calibri" w:eastAsia="Times New Roman" w:hAnsi="Calibri" w:cs="Calibri"/>
                <w:b/>
                <w:bCs/>
                <w:sz w:val="16"/>
                <w:szCs w:val="16"/>
              </w:rPr>
              <w:t>Tecnologo di II livello</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rPr>
                <w:rFonts w:ascii="Calibri" w:eastAsia="Times New Roman" w:hAnsi="Calibri" w:cs="Calibri"/>
                <w:b/>
                <w:bCs/>
                <w:sz w:val="16"/>
                <w:szCs w:val="16"/>
              </w:rPr>
            </w:pPr>
            <w:r w:rsidRPr="008E18D6">
              <w:rPr>
                <w:rFonts w:ascii="Calibri" w:eastAsia="Times New Roman" w:hAnsi="Calibri" w:cs="Calibri"/>
                <w:b/>
                <w:bCs/>
                <w:sz w:val="16"/>
                <w:szCs w:val="16"/>
              </w:rPr>
              <w:t> </w:t>
            </w:r>
          </w:p>
        </w:tc>
        <w:tc>
          <w:tcPr>
            <w:tcW w:w="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rPr>
                <w:rFonts w:ascii="Calibri" w:eastAsia="Times New Roman" w:hAnsi="Calibri" w:cs="Calibri"/>
                <w:b/>
                <w:bCs/>
                <w:sz w:val="16"/>
                <w:szCs w:val="16"/>
              </w:rPr>
            </w:pPr>
            <w:r w:rsidRPr="008E18D6">
              <w:rPr>
                <w:rFonts w:ascii="Calibri" w:eastAsia="Times New Roman" w:hAnsi="Calibri" w:cs="Calibri"/>
                <w:b/>
                <w:bCs/>
                <w:sz w:val="16"/>
                <w:szCs w:val="16"/>
              </w:rPr>
              <w:t> </w:t>
            </w:r>
          </w:p>
        </w:tc>
        <w:tc>
          <w:tcPr>
            <w:tcW w:w="1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jc w:val="right"/>
              <w:rPr>
                <w:rFonts w:ascii="Calibri" w:eastAsia="Times New Roman" w:hAnsi="Calibri" w:cs="Calibri"/>
                <w:b/>
                <w:bCs/>
                <w:sz w:val="16"/>
                <w:szCs w:val="16"/>
              </w:rPr>
            </w:pPr>
            <w:r w:rsidRPr="008E18D6">
              <w:rPr>
                <w:rFonts w:ascii="Calibri" w:eastAsia="Times New Roman" w:hAnsi="Calibri" w:cs="Calibri"/>
                <w:b/>
                <w:bCs/>
                <w:sz w:val="16"/>
                <w:szCs w:val="16"/>
              </w:rPr>
              <w:t>8</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jc w:val="right"/>
              <w:rPr>
                <w:rFonts w:ascii="Calibri" w:eastAsia="Times New Roman" w:hAnsi="Calibri" w:cs="Calibri"/>
                <w:b/>
                <w:bCs/>
                <w:sz w:val="16"/>
                <w:szCs w:val="16"/>
              </w:rPr>
            </w:pPr>
            <w:r w:rsidRPr="008E18D6">
              <w:rPr>
                <w:rFonts w:ascii="Calibri" w:eastAsia="Times New Roman" w:hAnsi="Calibri" w:cs="Calibri"/>
                <w:b/>
                <w:bCs/>
                <w:sz w:val="16"/>
                <w:szCs w:val="16"/>
              </w:rPr>
              <w:t>8</w:t>
            </w:r>
          </w:p>
        </w:tc>
      </w:tr>
      <w:tr w:rsidR="00512AB2" w:rsidRPr="008E18D6" w:rsidTr="0060130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ind w:firstLineChars="100" w:firstLine="160"/>
              <w:rPr>
                <w:rFonts w:ascii="Calibri" w:eastAsia="Times New Roman" w:hAnsi="Calibri" w:cs="Calibri"/>
                <w:b/>
                <w:bCs/>
                <w:sz w:val="16"/>
                <w:szCs w:val="16"/>
              </w:rPr>
            </w:pPr>
            <w:r w:rsidRPr="008E18D6">
              <w:rPr>
                <w:rFonts w:ascii="Calibri" w:eastAsia="Times New Roman" w:hAnsi="Calibri" w:cs="Calibri"/>
                <w:b/>
                <w:bCs/>
                <w:sz w:val="16"/>
                <w:szCs w:val="16"/>
              </w:rPr>
              <w:t>Categoria C - Area amministrativa - TD</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jc w:val="right"/>
              <w:rPr>
                <w:rFonts w:ascii="Calibri" w:eastAsia="Times New Roman" w:hAnsi="Calibri" w:cs="Calibri"/>
                <w:b/>
                <w:bCs/>
                <w:sz w:val="16"/>
                <w:szCs w:val="16"/>
              </w:rPr>
            </w:pPr>
            <w:r w:rsidRPr="008E18D6">
              <w:rPr>
                <w:rFonts w:ascii="Calibri" w:eastAsia="Times New Roman" w:hAnsi="Calibri" w:cs="Calibri"/>
                <w:b/>
                <w:bCs/>
                <w:sz w:val="16"/>
                <w:szCs w:val="16"/>
              </w:rPr>
              <w:t>4</w:t>
            </w:r>
          </w:p>
        </w:tc>
        <w:tc>
          <w:tcPr>
            <w:tcW w:w="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rPr>
                <w:rFonts w:ascii="Calibri" w:eastAsia="Times New Roman" w:hAnsi="Calibri" w:cs="Calibri"/>
                <w:b/>
                <w:bCs/>
                <w:sz w:val="16"/>
                <w:szCs w:val="16"/>
              </w:rPr>
            </w:pPr>
            <w:r w:rsidRPr="008E18D6">
              <w:rPr>
                <w:rFonts w:ascii="Calibri" w:eastAsia="Times New Roman" w:hAnsi="Calibri" w:cs="Calibri"/>
                <w:b/>
                <w:bCs/>
                <w:sz w:val="16"/>
                <w:szCs w:val="16"/>
              </w:rPr>
              <w:t> </w:t>
            </w:r>
          </w:p>
        </w:tc>
        <w:tc>
          <w:tcPr>
            <w:tcW w:w="1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jc w:val="right"/>
              <w:rPr>
                <w:rFonts w:ascii="Calibri" w:eastAsia="Times New Roman" w:hAnsi="Calibri" w:cs="Calibri"/>
                <w:b/>
                <w:bCs/>
                <w:sz w:val="16"/>
                <w:szCs w:val="16"/>
              </w:rPr>
            </w:pPr>
            <w:r w:rsidRPr="008E18D6">
              <w:rPr>
                <w:rFonts w:ascii="Calibri" w:eastAsia="Times New Roman" w:hAnsi="Calibri" w:cs="Calibri"/>
                <w:b/>
                <w:bCs/>
                <w:sz w:val="16"/>
                <w:szCs w:val="16"/>
              </w:rPr>
              <w:t>4</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jc w:val="right"/>
              <w:rPr>
                <w:rFonts w:ascii="Calibri" w:eastAsia="Times New Roman" w:hAnsi="Calibri" w:cs="Calibri"/>
                <w:b/>
                <w:bCs/>
                <w:sz w:val="16"/>
                <w:szCs w:val="16"/>
              </w:rPr>
            </w:pPr>
            <w:r w:rsidRPr="008E18D6">
              <w:rPr>
                <w:rFonts w:ascii="Calibri" w:eastAsia="Times New Roman" w:hAnsi="Calibri" w:cs="Calibri"/>
                <w:b/>
                <w:bCs/>
                <w:sz w:val="16"/>
                <w:szCs w:val="16"/>
              </w:rPr>
              <w:t>8</w:t>
            </w:r>
          </w:p>
        </w:tc>
      </w:tr>
      <w:tr w:rsidR="00512AB2" w:rsidRPr="008E18D6" w:rsidTr="0060130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ind w:firstLineChars="100" w:firstLine="160"/>
              <w:rPr>
                <w:rFonts w:ascii="Calibri" w:eastAsia="Times New Roman" w:hAnsi="Calibri" w:cs="Calibri"/>
                <w:b/>
                <w:bCs/>
                <w:sz w:val="16"/>
                <w:szCs w:val="16"/>
              </w:rPr>
            </w:pPr>
            <w:r w:rsidRPr="008E18D6">
              <w:rPr>
                <w:rFonts w:ascii="Calibri" w:eastAsia="Times New Roman" w:hAnsi="Calibri" w:cs="Calibri"/>
                <w:b/>
                <w:bCs/>
                <w:sz w:val="16"/>
                <w:szCs w:val="16"/>
              </w:rPr>
              <w:t>Categoria C - Area tecnica, tecnico-scientifica ed elaborazione dati - TD</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jc w:val="right"/>
              <w:rPr>
                <w:rFonts w:ascii="Calibri" w:eastAsia="Times New Roman" w:hAnsi="Calibri" w:cs="Calibri"/>
                <w:b/>
                <w:bCs/>
                <w:sz w:val="16"/>
                <w:szCs w:val="16"/>
              </w:rPr>
            </w:pPr>
            <w:r w:rsidRPr="008E18D6">
              <w:rPr>
                <w:rFonts w:ascii="Calibri" w:eastAsia="Times New Roman" w:hAnsi="Calibri" w:cs="Calibri"/>
                <w:b/>
                <w:bCs/>
                <w:sz w:val="16"/>
                <w:szCs w:val="16"/>
              </w:rPr>
              <w:t>1</w:t>
            </w:r>
          </w:p>
        </w:tc>
        <w:tc>
          <w:tcPr>
            <w:tcW w:w="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rPr>
                <w:rFonts w:ascii="Calibri" w:eastAsia="Times New Roman" w:hAnsi="Calibri" w:cs="Calibri"/>
                <w:b/>
                <w:bCs/>
                <w:sz w:val="16"/>
                <w:szCs w:val="16"/>
              </w:rPr>
            </w:pPr>
            <w:r w:rsidRPr="008E18D6">
              <w:rPr>
                <w:rFonts w:ascii="Calibri" w:eastAsia="Times New Roman" w:hAnsi="Calibri" w:cs="Calibri"/>
                <w:b/>
                <w:bCs/>
                <w:sz w:val="16"/>
                <w:szCs w:val="16"/>
              </w:rPr>
              <w:t> </w:t>
            </w:r>
          </w:p>
        </w:tc>
        <w:tc>
          <w:tcPr>
            <w:tcW w:w="1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jc w:val="right"/>
              <w:rPr>
                <w:rFonts w:ascii="Calibri" w:eastAsia="Times New Roman" w:hAnsi="Calibri" w:cs="Calibri"/>
                <w:b/>
                <w:bCs/>
                <w:sz w:val="16"/>
                <w:szCs w:val="16"/>
              </w:rPr>
            </w:pPr>
            <w:r w:rsidRPr="008E18D6">
              <w:rPr>
                <w:rFonts w:ascii="Calibri" w:eastAsia="Times New Roman" w:hAnsi="Calibri" w:cs="Calibri"/>
                <w:b/>
                <w:bCs/>
                <w:sz w:val="16"/>
                <w:szCs w:val="16"/>
              </w:rPr>
              <w:t>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jc w:val="right"/>
              <w:rPr>
                <w:rFonts w:ascii="Calibri" w:eastAsia="Times New Roman" w:hAnsi="Calibri" w:cs="Calibri"/>
                <w:b/>
                <w:bCs/>
                <w:sz w:val="16"/>
                <w:szCs w:val="16"/>
              </w:rPr>
            </w:pPr>
            <w:r w:rsidRPr="008E18D6">
              <w:rPr>
                <w:rFonts w:ascii="Calibri" w:eastAsia="Times New Roman" w:hAnsi="Calibri" w:cs="Calibri"/>
                <w:b/>
                <w:bCs/>
                <w:sz w:val="16"/>
                <w:szCs w:val="16"/>
              </w:rPr>
              <w:t>3</w:t>
            </w:r>
          </w:p>
        </w:tc>
      </w:tr>
      <w:tr w:rsidR="00512AB2" w:rsidRPr="008E18D6" w:rsidTr="0060130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ind w:firstLineChars="100" w:firstLine="160"/>
              <w:rPr>
                <w:rFonts w:ascii="Calibri" w:eastAsia="Times New Roman" w:hAnsi="Calibri" w:cs="Calibri"/>
                <w:b/>
                <w:bCs/>
                <w:sz w:val="16"/>
                <w:szCs w:val="16"/>
              </w:rPr>
            </w:pPr>
            <w:r w:rsidRPr="008E18D6">
              <w:rPr>
                <w:rFonts w:ascii="Calibri" w:eastAsia="Times New Roman" w:hAnsi="Calibri" w:cs="Calibri"/>
                <w:b/>
                <w:bCs/>
                <w:sz w:val="16"/>
                <w:szCs w:val="16"/>
              </w:rPr>
              <w:t>Categoria D - Area amministrativa-gestionale - TD</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jc w:val="right"/>
              <w:rPr>
                <w:rFonts w:ascii="Calibri" w:eastAsia="Times New Roman" w:hAnsi="Calibri" w:cs="Calibri"/>
                <w:b/>
                <w:bCs/>
                <w:sz w:val="16"/>
                <w:szCs w:val="16"/>
              </w:rPr>
            </w:pPr>
            <w:r w:rsidRPr="008E18D6">
              <w:rPr>
                <w:rFonts w:ascii="Calibri" w:eastAsia="Times New Roman" w:hAnsi="Calibri" w:cs="Calibri"/>
                <w:b/>
                <w:bCs/>
                <w:sz w:val="16"/>
                <w:szCs w:val="16"/>
              </w:rPr>
              <w:t>1</w:t>
            </w:r>
          </w:p>
        </w:tc>
        <w:tc>
          <w:tcPr>
            <w:tcW w:w="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rPr>
                <w:rFonts w:ascii="Calibri" w:eastAsia="Times New Roman" w:hAnsi="Calibri" w:cs="Calibri"/>
                <w:b/>
                <w:bCs/>
                <w:sz w:val="16"/>
                <w:szCs w:val="16"/>
              </w:rPr>
            </w:pPr>
            <w:r w:rsidRPr="008E18D6">
              <w:rPr>
                <w:rFonts w:ascii="Calibri" w:eastAsia="Times New Roman" w:hAnsi="Calibri" w:cs="Calibri"/>
                <w:b/>
                <w:bCs/>
                <w:sz w:val="16"/>
                <w:szCs w:val="16"/>
              </w:rPr>
              <w:t> </w:t>
            </w:r>
          </w:p>
        </w:tc>
        <w:tc>
          <w:tcPr>
            <w:tcW w:w="1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jc w:val="right"/>
              <w:rPr>
                <w:rFonts w:ascii="Calibri" w:eastAsia="Times New Roman" w:hAnsi="Calibri" w:cs="Calibri"/>
                <w:b/>
                <w:bCs/>
                <w:sz w:val="16"/>
                <w:szCs w:val="16"/>
              </w:rPr>
            </w:pPr>
            <w:r w:rsidRPr="008E18D6">
              <w:rPr>
                <w:rFonts w:ascii="Calibri" w:eastAsia="Times New Roman" w:hAnsi="Calibri" w:cs="Calibri"/>
                <w:b/>
                <w:bCs/>
                <w:sz w:val="16"/>
                <w:szCs w:val="16"/>
              </w:rPr>
              <w:t>6</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jc w:val="right"/>
              <w:rPr>
                <w:rFonts w:ascii="Calibri" w:eastAsia="Times New Roman" w:hAnsi="Calibri" w:cs="Calibri"/>
                <w:b/>
                <w:bCs/>
                <w:sz w:val="16"/>
                <w:szCs w:val="16"/>
              </w:rPr>
            </w:pPr>
            <w:r w:rsidRPr="008E18D6">
              <w:rPr>
                <w:rFonts w:ascii="Calibri" w:eastAsia="Times New Roman" w:hAnsi="Calibri" w:cs="Calibri"/>
                <w:b/>
                <w:bCs/>
                <w:sz w:val="16"/>
                <w:szCs w:val="16"/>
              </w:rPr>
              <w:t>7</w:t>
            </w:r>
          </w:p>
        </w:tc>
      </w:tr>
      <w:tr w:rsidR="00512AB2" w:rsidRPr="008E18D6" w:rsidTr="0060130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ind w:firstLineChars="100" w:firstLine="160"/>
              <w:rPr>
                <w:rFonts w:ascii="Calibri" w:eastAsia="Times New Roman" w:hAnsi="Calibri" w:cs="Calibri"/>
                <w:b/>
                <w:bCs/>
                <w:sz w:val="16"/>
                <w:szCs w:val="16"/>
              </w:rPr>
            </w:pPr>
            <w:r w:rsidRPr="008E18D6">
              <w:rPr>
                <w:rFonts w:ascii="Calibri" w:eastAsia="Times New Roman" w:hAnsi="Calibri" w:cs="Calibri"/>
                <w:b/>
                <w:bCs/>
                <w:sz w:val="16"/>
                <w:szCs w:val="16"/>
              </w:rPr>
              <w:t>Categoria D - Area tecnica, tecnico-scientifica ed elaborazione dati - TD</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jc w:val="right"/>
              <w:rPr>
                <w:rFonts w:ascii="Calibri" w:eastAsia="Times New Roman" w:hAnsi="Calibri" w:cs="Calibri"/>
                <w:b/>
                <w:bCs/>
                <w:sz w:val="16"/>
                <w:szCs w:val="16"/>
              </w:rPr>
            </w:pPr>
            <w:r w:rsidRPr="008E18D6">
              <w:rPr>
                <w:rFonts w:ascii="Calibri" w:eastAsia="Times New Roman" w:hAnsi="Calibri" w:cs="Calibri"/>
                <w:b/>
                <w:bCs/>
                <w:sz w:val="16"/>
                <w:szCs w:val="16"/>
              </w:rPr>
              <w:t>1</w:t>
            </w:r>
          </w:p>
        </w:tc>
        <w:tc>
          <w:tcPr>
            <w:tcW w:w="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rPr>
                <w:rFonts w:ascii="Calibri" w:eastAsia="Times New Roman" w:hAnsi="Calibri" w:cs="Calibri"/>
                <w:b/>
                <w:bCs/>
                <w:sz w:val="16"/>
                <w:szCs w:val="16"/>
              </w:rPr>
            </w:pPr>
            <w:r w:rsidRPr="008E18D6">
              <w:rPr>
                <w:rFonts w:ascii="Calibri" w:eastAsia="Times New Roman" w:hAnsi="Calibri" w:cs="Calibri"/>
                <w:b/>
                <w:bCs/>
                <w:sz w:val="16"/>
                <w:szCs w:val="16"/>
              </w:rPr>
              <w:t> </w:t>
            </w:r>
          </w:p>
        </w:tc>
        <w:tc>
          <w:tcPr>
            <w:tcW w:w="1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jc w:val="right"/>
              <w:rPr>
                <w:rFonts w:ascii="Calibri" w:eastAsia="Times New Roman" w:hAnsi="Calibri" w:cs="Calibri"/>
                <w:b/>
                <w:bCs/>
                <w:sz w:val="16"/>
                <w:szCs w:val="16"/>
              </w:rPr>
            </w:pPr>
            <w:r w:rsidRPr="008E18D6">
              <w:rPr>
                <w:rFonts w:ascii="Calibri" w:eastAsia="Times New Roman" w:hAnsi="Calibri" w:cs="Calibri"/>
                <w:b/>
                <w:bCs/>
                <w:sz w:val="16"/>
                <w:szCs w:val="16"/>
              </w:rPr>
              <w:t>7</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jc w:val="right"/>
              <w:rPr>
                <w:rFonts w:ascii="Calibri" w:eastAsia="Times New Roman" w:hAnsi="Calibri" w:cs="Calibri"/>
                <w:b/>
                <w:bCs/>
                <w:sz w:val="16"/>
                <w:szCs w:val="16"/>
              </w:rPr>
            </w:pPr>
            <w:r w:rsidRPr="008E18D6">
              <w:rPr>
                <w:rFonts w:ascii="Calibri" w:eastAsia="Times New Roman" w:hAnsi="Calibri" w:cs="Calibri"/>
                <w:b/>
                <w:bCs/>
                <w:sz w:val="16"/>
                <w:szCs w:val="16"/>
              </w:rPr>
              <w:t>8</w:t>
            </w:r>
          </w:p>
        </w:tc>
      </w:tr>
      <w:tr w:rsidR="00512AB2" w:rsidRPr="008E18D6" w:rsidTr="0060130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ind w:firstLineChars="100" w:firstLine="160"/>
              <w:rPr>
                <w:rFonts w:ascii="Calibri" w:eastAsia="Times New Roman" w:hAnsi="Calibri" w:cs="Calibri"/>
                <w:b/>
                <w:bCs/>
                <w:sz w:val="16"/>
                <w:szCs w:val="16"/>
              </w:rPr>
            </w:pPr>
            <w:r w:rsidRPr="008E18D6">
              <w:rPr>
                <w:rFonts w:ascii="Calibri" w:eastAsia="Times New Roman" w:hAnsi="Calibri" w:cs="Calibri"/>
                <w:b/>
                <w:bCs/>
                <w:sz w:val="16"/>
                <w:szCs w:val="16"/>
              </w:rPr>
              <w:t>Categoria C - Area socio-sanitaria - TD</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rPr>
                <w:rFonts w:ascii="Calibri" w:eastAsia="Times New Roman" w:hAnsi="Calibri" w:cs="Calibri"/>
                <w:b/>
                <w:bCs/>
                <w:sz w:val="16"/>
                <w:szCs w:val="16"/>
              </w:rPr>
            </w:pPr>
            <w:r w:rsidRPr="008E18D6">
              <w:rPr>
                <w:rFonts w:ascii="Calibri" w:eastAsia="Times New Roman" w:hAnsi="Calibri" w:cs="Calibri"/>
                <w:b/>
                <w:bCs/>
                <w:sz w:val="16"/>
                <w:szCs w:val="16"/>
              </w:rPr>
              <w:t> </w:t>
            </w:r>
          </w:p>
        </w:tc>
        <w:tc>
          <w:tcPr>
            <w:tcW w:w="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rPr>
                <w:rFonts w:ascii="Calibri" w:eastAsia="Times New Roman" w:hAnsi="Calibri" w:cs="Calibri"/>
                <w:b/>
                <w:bCs/>
                <w:sz w:val="16"/>
                <w:szCs w:val="16"/>
              </w:rPr>
            </w:pPr>
            <w:r w:rsidRPr="008E18D6">
              <w:rPr>
                <w:rFonts w:ascii="Calibri" w:eastAsia="Times New Roman" w:hAnsi="Calibri" w:cs="Calibri"/>
                <w:b/>
                <w:bCs/>
                <w:sz w:val="16"/>
                <w:szCs w:val="16"/>
              </w:rPr>
              <w:t> </w:t>
            </w:r>
          </w:p>
        </w:tc>
        <w:tc>
          <w:tcPr>
            <w:tcW w:w="1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jc w:val="right"/>
              <w:rPr>
                <w:rFonts w:ascii="Calibri" w:eastAsia="Times New Roman" w:hAnsi="Calibri" w:cs="Calibri"/>
                <w:b/>
                <w:bCs/>
                <w:sz w:val="16"/>
                <w:szCs w:val="16"/>
              </w:rPr>
            </w:pPr>
            <w:r w:rsidRPr="008E18D6">
              <w:rPr>
                <w:rFonts w:ascii="Calibri" w:eastAsia="Times New Roman" w:hAnsi="Calibri" w:cs="Calibri"/>
                <w:b/>
                <w:bCs/>
                <w:sz w:val="16"/>
                <w:szCs w:val="16"/>
              </w:rPr>
              <w:t>1</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jc w:val="right"/>
              <w:rPr>
                <w:rFonts w:ascii="Calibri" w:eastAsia="Times New Roman" w:hAnsi="Calibri" w:cs="Calibri"/>
                <w:b/>
                <w:bCs/>
                <w:sz w:val="16"/>
                <w:szCs w:val="16"/>
              </w:rPr>
            </w:pPr>
            <w:r w:rsidRPr="008E18D6">
              <w:rPr>
                <w:rFonts w:ascii="Calibri" w:eastAsia="Times New Roman" w:hAnsi="Calibri" w:cs="Calibri"/>
                <w:b/>
                <w:bCs/>
                <w:sz w:val="16"/>
                <w:szCs w:val="16"/>
              </w:rPr>
              <w:t>1</w:t>
            </w:r>
          </w:p>
        </w:tc>
      </w:tr>
      <w:tr w:rsidR="00512AB2" w:rsidRPr="008E18D6" w:rsidTr="00601306">
        <w:trPr>
          <w:trHeight w:val="300"/>
        </w:trPr>
        <w:tc>
          <w:tcPr>
            <w:tcW w:w="5260" w:type="dxa"/>
            <w:tcBorders>
              <w:top w:val="single" w:sz="4" w:space="0" w:color="auto"/>
              <w:left w:val="single" w:sz="4" w:space="0" w:color="auto"/>
              <w:bottom w:val="single" w:sz="4" w:space="0" w:color="auto"/>
              <w:right w:val="single" w:sz="4" w:space="0" w:color="auto"/>
            </w:tcBorders>
            <w:shd w:val="clear" w:color="000000" w:fill="95B3D7"/>
            <w:noWrap/>
            <w:vAlign w:val="bottom"/>
            <w:hideMark/>
          </w:tcPr>
          <w:p w:rsidR="00512AB2" w:rsidRPr="008E18D6" w:rsidRDefault="00512AB2" w:rsidP="00601306">
            <w:pPr>
              <w:spacing w:after="0" w:line="240" w:lineRule="auto"/>
              <w:rPr>
                <w:rFonts w:ascii="Calibri" w:eastAsia="Times New Roman" w:hAnsi="Calibri" w:cs="Calibri"/>
                <w:b/>
                <w:bCs/>
                <w:sz w:val="18"/>
                <w:szCs w:val="18"/>
              </w:rPr>
            </w:pPr>
            <w:r w:rsidRPr="008E18D6">
              <w:rPr>
                <w:rFonts w:ascii="Calibri" w:eastAsia="Times New Roman" w:hAnsi="Calibri" w:cs="Calibri"/>
                <w:b/>
                <w:bCs/>
                <w:sz w:val="18"/>
                <w:szCs w:val="18"/>
              </w:rPr>
              <w:t>Totale parziale - maschi</w:t>
            </w:r>
          </w:p>
        </w:tc>
        <w:tc>
          <w:tcPr>
            <w:tcW w:w="851" w:type="dxa"/>
            <w:tcBorders>
              <w:top w:val="single" w:sz="4" w:space="0" w:color="auto"/>
              <w:left w:val="single" w:sz="4" w:space="0" w:color="auto"/>
              <w:bottom w:val="single" w:sz="4" w:space="0" w:color="auto"/>
              <w:right w:val="single" w:sz="4" w:space="0" w:color="auto"/>
            </w:tcBorders>
            <w:shd w:val="clear" w:color="000000" w:fill="95B3D7"/>
            <w:noWrap/>
            <w:vAlign w:val="bottom"/>
            <w:hideMark/>
          </w:tcPr>
          <w:p w:rsidR="00512AB2" w:rsidRPr="008E18D6" w:rsidRDefault="00512AB2" w:rsidP="00601306">
            <w:pPr>
              <w:spacing w:after="0" w:line="240" w:lineRule="auto"/>
              <w:jc w:val="right"/>
              <w:rPr>
                <w:rFonts w:ascii="Calibri" w:eastAsia="Times New Roman" w:hAnsi="Calibri" w:cs="Calibri"/>
                <w:b/>
                <w:bCs/>
                <w:sz w:val="18"/>
                <w:szCs w:val="18"/>
              </w:rPr>
            </w:pPr>
            <w:r w:rsidRPr="008E18D6">
              <w:rPr>
                <w:rFonts w:ascii="Calibri" w:eastAsia="Times New Roman" w:hAnsi="Calibri" w:cs="Calibri"/>
                <w:b/>
                <w:bCs/>
                <w:sz w:val="18"/>
                <w:szCs w:val="18"/>
              </w:rPr>
              <w:t>386</w:t>
            </w:r>
          </w:p>
        </w:tc>
        <w:tc>
          <w:tcPr>
            <w:tcW w:w="588" w:type="dxa"/>
            <w:tcBorders>
              <w:top w:val="single" w:sz="4" w:space="0" w:color="auto"/>
              <w:left w:val="single" w:sz="4" w:space="0" w:color="auto"/>
              <w:bottom w:val="single" w:sz="4" w:space="0" w:color="auto"/>
              <w:right w:val="single" w:sz="4" w:space="0" w:color="auto"/>
            </w:tcBorders>
            <w:shd w:val="clear" w:color="000000" w:fill="95B3D7"/>
            <w:noWrap/>
            <w:vAlign w:val="bottom"/>
            <w:hideMark/>
          </w:tcPr>
          <w:p w:rsidR="00512AB2" w:rsidRPr="008E18D6" w:rsidRDefault="00512AB2" w:rsidP="00601306">
            <w:pPr>
              <w:spacing w:after="0" w:line="240" w:lineRule="auto"/>
              <w:jc w:val="right"/>
              <w:rPr>
                <w:rFonts w:ascii="Calibri" w:eastAsia="Times New Roman" w:hAnsi="Calibri" w:cs="Calibri"/>
                <w:b/>
                <w:bCs/>
                <w:sz w:val="18"/>
                <w:szCs w:val="18"/>
              </w:rPr>
            </w:pPr>
            <w:r w:rsidRPr="008E18D6">
              <w:rPr>
                <w:rFonts w:ascii="Calibri" w:eastAsia="Times New Roman" w:hAnsi="Calibri" w:cs="Calibri"/>
                <w:b/>
                <w:bCs/>
                <w:sz w:val="18"/>
                <w:szCs w:val="18"/>
              </w:rPr>
              <w:t>29</w:t>
            </w:r>
          </w:p>
        </w:tc>
        <w:tc>
          <w:tcPr>
            <w:tcW w:w="1201" w:type="dxa"/>
            <w:tcBorders>
              <w:top w:val="single" w:sz="4" w:space="0" w:color="auto"/>
              <w:left w:val="single" w:sz="4" w:space="0" w:color="auto"/>
              <w:bottom w:val="single" w:sz="4" w:space="0" w:color="auto"/>
              <w:right w:val="single" w:sz="4" w:space="0" w:color="auto"/>
            </w:tcBorders>
            <w:shd w:val="clear" w:color="000000" w:fill="95B3D7"/>
            <w:noWrap/>
            <w:vAlign w:val="bottom"/>
            <w:hideMark/>
          </w:tcPr>
          <w:p w:rsidR="00512AB2" w:rsidRPr="008E18D6" w:rsidRDefault="00512AB2" w:rsidP="00601306">
            <w:pPr>
              <w:spacing w:after="0" w:line="240" w:lineRule="auto"/>
              <w:jc w:val="right"/>
              <w:rPr>
                <w:rFonts w:ascii="Calibri" w:eastAsia="Times New Roman" w:hAnsi="Calibri" w:cs="Calibri"/>
                <w:b/>
                <w:bCs/>
                <w:sz w:val="18"/>
                <w:szCs w:val="18"/>
              </w:rPr>
            </w:pPr>
            <w:r w:rsidRPr="008E18D6">
              <w:rPr>
                <w:rFonts w:ascii="Calibri" w:eastAsia="Times New Roman" w:hAnsi="Calibri" w:cs="Calibri"/>
                <w:b/>
                <w:bCs/>
                <w:sz w:val="18"/>
                <w:szCs w:val="18"/>
              </w:rPr>
              <w:t>304</w:t>
            </w:r>
          </w:p>
        </w:tc>
        <w:tc>
          <w:tcPr>
            <w:tcW w:w="1180" w:type="dxa"/>
            <w:tcBorders>
              <w:top w:val="single" w:sz="4" w:space="0" w:color="auto"/>
              <w:left w:val="single" w:sz="4" w:space="0" w:color="auto"/>
              <w:bottom w:val="single" w:sz="4" w:space="0" w:color="auto"/>
              <w:right w:val="single" w:sz="4" w:space="0" w:color="auto"/>
            </w:tcBorders>
            <w:shd w:val="clear" w:color="000000" w:fill="95B3D7"/>
            <w:noWrap/>
            <w:vAlign w:val="bottom"/>
            <w:hideMark/>
          </w:tcPr>
          <w:p w:rsidR="00512AB2" w:rsidRPr="008E18D6" w:rsidRDefault="00512AB2" w:rsidP="00601306">
            <w:pPr>
              <w:spacing w:after="0" w:line="240" w:lineRule="auto"/>
              <w:jc w:val="right"/>
              <w:rPr>
                <w:rFonts w:ascii="Calibri" w:eastAsia="Times New Roman" w:hAnsi="Calibri" w:cs="Calibri"/>
                <w:b/>
                <w:bCs/>
                <w:sz w:val="18"/>
                <w:szCs w:val="18"/>
              </w:rPr>
            </w:pPr>
            <w:r w:rsidRPr="008E18D6">
              <w:rPr>
                <w:rFonts w:ascii="Calibri" w:eastAsia="Times New Roman" w:hAnsi="Calibri" w:cs="Calibri"/>
                <w:b/>
                <w:bCs/>
                <w:sz w:val="18"/>
                <w:szCs w:val="18"/>
              </w:rPr>
              <w:t>719</w:t>
            </w:r>
          </w:p>
        </w:tc>
      </w:tr>
      <w:tr w:rsidR="00512AB2" w:rsidRPr="008E18D6" w:rsidTr="0060130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ind w:firstLineChars="100" w:firstLine="160"/>
              <w:rPr>
                <w:rFonts w:ascii="Calibri" w:eastAsia="Times New Roman" w:hAnsi="Calibri" w:cs="Calibri"/>
                <w:b/>
                <w:bCs/>
                <w:sz w:val="16"/>
                <w:szCs w:val="16"/>
              </w:rPr>
            </w:pPr>
            <w:r w:rsidRPr="008E18D6">
              <w:rPr>
                <w:rFonts w:ascii="Calibri" w:eastAsia="Times New Roman" w:hAnsi="Calibri" w:cs="Calibri"/>
                <w:b/>
                <w:bCs/>
                <w:sz w:val="16"/>
                <w:szCs w:val="16"/>
              </w:rPr>
              <w:t>Categoria B - Area amministrativa</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jc w:val="right"/>
              <w:rPr>
                <w:rFonts w:ascii="Calibri" w:eastAsia="Times New Roman" w:hAnsi="Calibri" w:cs="Calibri"/>
                <w:b/>
                <w:bCs/>
                <w:sz w:val="16"/>
                <w:szCs w:val="16"/>
              </w:rPr>
            </w:pPr>
            <w:r w:rsidRPr="008E18D6">
              <w:rPr>
                <w:rFonts w:ascii="Calibri" w:eastAsia="Times New Roman" w:hAnsi="Calibri" w:cs="Calibri"/>
                <w:b/>
                <w:bCs/>
                <w:sz w:val="16"/>
                <w:szCs w:val="16"/>
              </w:rPr>
              <w:t>6</w:t>
            </w:r>
          </w:p>
        </w:tc>
        <w:tc>
          <w:tcPr>
            <w:tcW w:w="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rPr>
                <w:rFonts w:ascii="Calibri" w:eastAsia="Times New Roman" w:hAnsi="Calibri" w:cs="Calibri"/>
                <w:b/>
                <w:bCs/>
                <w:sz w:val="16"/>
                <w:szCs w:val="16"/>
              </w:rPr>
            </w:pPr>
            <w:r w:rsidRPr="008E18D6">
              <w:rPr>
                <w:rFonts w:ascii="Calibri" w:eastAsia="Times New Roman" w:hAnsi="Calibri" w:cs="Calibri"/>
                <w:b/>
                <w:bCs/>
                <w:sz w:val="16"/>
                <w:szCs w:val="16"/>
              </w:rPr>
              <w:t> </w:t>
            </w:r>
          </w:p>
        </w:tc>
        <w:tc>
          <w:tcPr>
            <w:tcW w:w="1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jc w:val="right"/>
              <w:rPr>
                <w:rFonts w:ascii="Calibri" w:eastAsia="Times New Roman" w:hAnsi="Calibri" w:cs="Calibri"/>
                <w:b/>
                <w:bCs/>
                <w:sz w:val="16"/>
                <w:szCs w:val="16"/>
              </w:rPr>
            </w:pPr>
            <w:r w:rsidRPr="008E18D6">
              <w:rPr>
                <w:rFonts w:ascii="Calibri" w:eastAsia="Times New Roman" w:hAnsi="Calibri" w:cs="Calibri"/>
                <w:b/>
                <w:bCs/>
                <w:sz w:val="16"/>
                <w:szCs w:val="16"/>
              </w:rPr>
              <w:t>1</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jc w:val="right"/>
              <w:rPr>
                <w:rFonts w:ascii="Calibri" w:eastAsia="Times New Roman" w:hAnsi="Calibri" w:cs="Calibri"/>
                <w:b/>
                <w:bCs/>
                <w:sz w:val="16"/>
                <w:szCs w:val="16"/>
              </w:rPr>
            </w:pPr>
            <w:r w:rsidRPr="008E18D6">
              <w:rPr>
                <w:rFonts w:ascii="Calibri" w:eastAsia="Times New Roman" w:hAnsi="Calibri" w:cs="Calibri"/>
                <w:b/>
                <w:bCs/>
                <w:sz w:val="16"/>
                <w:szCs w:val="16"/>
              </w:rPr>
              <w:t>7</w:t>
            </w:r>
          </w:p>
        </w:tc>
      </w:tr>
      <w:tr w:rsidR="00512AB2" w:rsidRPr="008E18D6" w:rsidTr="0060130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ind w:firstLineChars="100" w:firstLine="160"/>
              <w:rPr>
                <w:rFonts w:ascii="Calibri" w:eastAsia="Times New Roman" w:hAnsi="Calibri" w:cs="Calibri"/>
                <w:b/>
                <w:bCs/>
                <w:sz w:val="16"/>
                <w:szCs w:val="16"/>
              </w:rPr>
            </w:pPr>
            <w:r w:rsidRPr="008E18D6">
              <w:rPr>
                <w:rFonts w:ascii="Calibri" w:eastAsia="Times New Roman" w:hAnsi="Calibri" w:cs="Calibri"/>
                <w:b/>
                <w:bCs/>
                <w:sz w:val="16"/>
                <w:szCs w:val="16"/>
              </w:rPr>
              <w:t>Categoria B - Area servizi generali e tecnici</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jc w:val="right"/>
              <w:rPr>
                <w:rFonts w:ascii="Calibri" w:eastAsia="Times New Roman" w:hAnsi="Calibri" w:cs="Calibri"/>
                <w:b/>
                <w:bCs/>
                <w:sz w:val="16"/>
                <w:szCs w:val="16"/>
              </w:rPr>
            </w:pPr>
            <w:r w:rsidRPr="008E18D6">
              <w:rPr>
                <w:rFonts w:ascii="Calibri" w:eastAsia="Times New Roman" w:hAnsi="Calibri" w:cs="Calibri"/>
                <w:b/>
                <w:bCs/>
                <w:sz w:val="16"/>
                <w:szCs w:val="16"/>
              </w:rPr>
              <w:t>58</w:t>
            </w:r>
          </w:p>
        </w:tc>
        <w:tc>
          <w:tcPr>
            <w:tcW w:w="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jc w:val="right"/>
              <w:rPr>
                <w:rFonts w:ascii="Calibri" w:eastAsia="Times New Roman" w:hAnsi="Calibri" w:cs="Calibri"/>
                <w:b/>
                <w:bCs/>
                <w:sz w:val="16"/>
                <w:szCs w:val="16"/>
              </w:rPr>
            </w:pPr>
            <w:r w:rsidRPr="008E18D6">
              <w:rPr>
                <w:rFonts w:ascii="Calibri" w:eastAsia="Times New Roman" w:hAnsi="Calibri" w:cs="Calibri"/>
                <w:b/>
                <w:bCs/>
                <w:sz w:val="16"/>
                <w:szCs w:val="16"/>
              </w:rPr>
              <w:t>3</w:t>
            </w:r>
          </w:p>
        </w:tc>
        <w:tc>
          <w:tcPr>
            <w:tcW w:w="1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jc w:val="right"/>
              <w:rPr>
                <w:rFonts w:ascii="Calibri" w:eastAsia="Times New Roman" w:hAnsi="Calibri" w:cs="Calibri"/>
                <w:b/>
                <w:bCs/>
                <w:sz w:val="16"/>
                <w:szCs w:val="16"/>
              </w:rPr>
            </w:pPr>
            <w:r w:rsidRPr="008E18D6">
              <w:rPr>
                <w:rFonts w:ascii="Calibri" w:eastAsia="Times New Roman" w:hAnsi="Calibri" w:cs="Calibri"/>
                <w:b/>
                <w:bCs/>
                <w:sz w:val="16"/>
                <w:szCs w:val="16"/>
              </w:rPr>
              <w:t>13</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jc w:val="right"/>
              <w:rPr>
                <w:rFonts w:ascii="Calibri" w:eastAsia="Times New Roman" w:hAnsi="Calibri" w:cs="Calibri"/>
                <w:b/>
                <w:bCs/>
                <w:sz w:val="16"/>
                <w:szCs w:val="16"/>
              </w:rPr>
            </w:pPr>
            <w:r w:rsidRPr="008E18D6">
              <w:rPr>
                <w:rFonts w:ascii="Calibri" w:eastAsia="Times New Roman" w:hAnsi="Calibri" w:cs="Calibri"/>
                <w:b/>
                <w:bCs/>
                <w:sz w:val="16"/>
                <w:szCs w:val="16"/>
              </w:rPr>
              <w:t>74</w:t>
            </w:r>
          </w:p>
        </w:tc>
      </w:tr>
      <w:tr w:rsidR="00512AB2" w:rsidRPr="008E18D6" w:rsidTr="0060130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ind w:firstLineChars="100" w:firstLine="160"/>
              <w:rPr>
                <w:rFonts w:ascii="Calibri" w:eastAsia="Times New Roman" w:hAnsi="Calibri" w:cs="Calibri"/>
                <w:b/>
                <w:bCs/>
                <w:sz w:val="16"/>
                <w:szCs w:val="16"/>
              </w:rPr>
            </w:pPr>
            <w:r w:rsidRPr="008E18D6">
              <w:rPr>
                <w:rFonts w:ascii="Calibri" w:eastAsia="Times New Roman" w:hAnsi="Calibri" w:cs="Calibri"/>
                <w:b/>
                <w:bCs/>
                <w:sz w:val="16"/>
                <w:szCs w:val="16"/>
              </w:rPr>
              <w:t>Categoria C - Area amministrativa</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jc w:val="right"/>
              <w:rPr>
                <w:rFonts w:ascii="Calibri" w:eastAsia="Times New Roman" w:hAnsi="Calibri" w:cs="Calibri"/>
                <w:b/>
                <w:bCs/>
                <w:sz w:val="16"/>
                <w:szCs w:val="16"/>
              </w:rPr>
            </w:pPr>
            <w:r w:rsidRPr="008E18D6">
              <w:rPr>
                <w:rFonts w:ascii="Calibri" w:eastAsia="Times New Roman" w:hAnsi="Calibri" w:cs="Calibri"/>
                <w:b/>
                <w:bCs/>
                <w:sz w:val="16"/>
                <w:szCs w:val="16"/>
              </w:rPr>
              <w:t>54</w:t>
            </w:r>
          </w:p>
        </w:tc>
        <w:tc>
          <w:tcPr>
            <w:tcW w:w="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rPr>
                <w:rFonts w:ascii="Calibri" w:eastAsia="Times New Roman" w:hAnsi="Calibri" w:cs="Calibri"/>
                <w:b/>
                <w:bCs/>
                <w:sz w:val="16"/>
                <w:szCs w:val="16"/>
              </w:rPr>
            </w:pPr>
            <w:r w:rsidRPr="008E18D6">
              <w:rPr>
                <w:rFonts w:ascii="Calibri" w:eastAsia="Times New Roman" w:hAnsi="Calibri" w:cs="Calibri"/>
                <w:b/>
                <w:bCs/>
                <w:sz w:val="16"/>
                <w:szCs w:val="16"/>
              </w:rPr>
              <w:t> </w:t>
            </w:r>
          </w:p>
        </w:tc>
        <w:tc>
          <w:tcPr>
            <w:tcW w:w="1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jc w:val="right"/>
              <w:rPr>
                <w:rFonts w:ascii="Calibri" w:eastAsia="Times New Roman" w:hAnsi="Calibri" w:cs="Calibri"/>
                <w:b/>
                <w:bCs/>
                <w:sz w:val="16"/>
                <w:szCs w:val="16"/>
              </w:rPr>
            </w:pPr>
            <w:r w:rsidRPr="008E18D6">
              <w:rPr>
                <w:rFonts w:ascii="Calibri" w:eastAsia="Times New Roman" w:hAnsi="Calibri" w:cs="Calibri"/>
                <w:b/>
                <w:bCs/>
                <w:sz w:val="16"/>
                <w:szCs w:val="16"/>
              </w:rPr>
              <w:t>37</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jc w:val="right"/>
              <w:rPr>
                <w:rFonts w:ascii="Calibri" w:eastAsia="Times New Roman" w:hAnsi="Calibri" w:cs="Calibri"/>
                <w:b/>
                <w:bCs/>
                <w:sz w:val="16"/>
                <w:szCs w:val="16"/>
              </w:rPr>
            </w:pPr>
            <w:r w:rsidRPr="008E18D6">
              <w:rPr>
                <w:rFonts w:ascii="Calibri" w:eastAsia="Times New Roman" w:hAnsi="Calibri" w:cs="Calibri"/>
                <w:b/>
                <w:bCs/>
                <w:sz w:val="16"/>
                <w:szCs w:val="16"/>
              </w:rPr>
              <w:t>91</w:t>
            </w:r>
          </w:p>
        </w:tc>
      </w:tr>
      <w:tr w:rsidR="00512AB2" w:rsidRPr="008E18D6" w:rsidTr="0060130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ind w:firstLineChars="100" w:firstLine="160"/>
              <w:rPr>
                <w:rFonts w:ascii="Calibri" w:eastAsia="Times New Roman" w:hAnsi="Calibri" w:cs="Calibri"/>
                <w:b/>
                <w:bCs/>
                <w:sz w:val="16"/>
                <w:szCs w:val="16"/>
              </w:rPr>
            </w:pPr>
            <w:r w:rsidRPr="008E18D6">
              <w:rPr>
                <w:rFonts w:ascii="Calibri" w:eastAsia="Times New Roman" w:hAnsi="Calibri" w:cs="Calibri"/>
                <w:b/>
                <w:bCs/>
                <w:sz w:val="16"/>
                <w:szCs w:val="16"/>
              </w:rPr>
              <w:t>Categoria C - Area biblioteche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jc w:val="right"/>
              <w:rPr>
                <w:rFonts w:ascii="Calibri" w:eastAsia="Times New Roman" w:hAnsi="Calibri" w:cs="Calibri"/>
                <w:b/>
                <w:bCs/>
                <w:sz w:val="16"/>
                <w:szCs w:val="16"/>
              </w:rPr>
            </w:pPr>
            <w:r w:rsidRPr="008E18D6">
              <w:rPr>
                <w:rFonts w:ascii="Calibri" w:eastAsia="Times New Roman" w:hAnsi="Calibri" w:cs="Calibri"/>
                <w:b/>
                <w:bCs/>
                <w:sz w:val="16"/>
                <w:szCs w:val="16"/>
              </w:rPr>
              <w:t>31</w:t>
            </w:r>
          </w:p>
        </w:tc>
        <w:tc>
          <w:tcPr>
            <w:tcW w:w="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rPr>
                <w:rFonts w:ascii="Calibri" w:eastAsia="Times New Roman" w:hAnsi="Calibri" w:cs="Calibri"/>
                <w:b/>
                <w:bCs/>
                <w:sz w:val="16"/>
                <w:szCs w:val="16"/>
              </w:rPr>
            </w:pPr>
            <w:r w:rsidRPr="008E18D6">
              <w:rPr>
                <w:rFonts w:ascii="Calibri" w:eastAsia="Times New Roman" w:hAnsi="Calibri" w:cs="Calibri"/>
                <w:b/>
                <w:bCs/>
                <w:sz w:val="16"/>
                <w:szCs w:val="16"/>
              </w:rPr>
              <w:t> </w:t>
            </w:r>
          </w:p>
        </w:tc>
        <w:tc>
          <w:tcPr>
            <w:tcW w:w="1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rPr>
                <w:rFonts w:ascii="Calibri" w:eastAsia="Times New Roman" w:hAnsi="Calibri" w:cs="Calibri"/>
                <w:b/>
                <w:bCs/>
                <w:sz w:val="16"/>
                <w:szCs w:val="16"/>
              </w:rPr>
            </w:pPr>
            <w:r w:rsidRPr="008E18D6">
              <w:rPr>
                <w:rFonts w:ascii="Calibri" w:eastAsia="Times New Roman" w:hAnsi="Calibri" w:cs="Calibri"/>
                <w:b/>
                <w:bCs/>
                <w:sz w:val="16"/>
                <w:szCs w:val="16"/>
              </w:rPr>
              <w:t> </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jc w:val="right"/>
              <w:rPr>
                <w:rFonts w:ascii="Calibri" w:eastAsia="Times New Roman" w:hAnsi="Calibri" w:cs="Calibri"/>
                <w:b/>
                <w:bCs/>
                <w:sz w:val="16"/>
                <w:szCs w:val="16"/>
              </w:rPr>
            </w:pPr>
            <w:r w:rsidRPr="008E18D6">
              <w:rPr>
                <w:rFonts w:ascii="Calibri" w:eastAsia="Times New Roman" w:hAnsi="Calibri" w:cs="Calibri"/>
                <w:b/>
                <w:bCs/>
                <w:sz w:val="16"/>
                <w:szCs w:val="16"/>
              </w:rPr>
              <w:t>31</w:t>
            </w:r>
          </w:p>
        </w:tc>
      </w:tr>
      <w:tr w:rsidR="00512AB2" w:rsidRPr="008E18D6" w:rsidTr="0060130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ind w:firstLineChars="100" w:firstLine="160"/>
              <w:rPr>
                <w:rFonts w:ascii="Calibri" w:eastAsia="Times New Roman" w:hAnsi="Calibri" w:cs="Calibri"/>
                <w:b/>
                <w:bCs/>
                <w:sz w:val="16"/>
                <w:szCs w:val="16"/>
              </w:rPr>
            </w:pPr>
            <w:r w:rsidRPr="008E18D6">
              <w:rPr>
                <w:rFonts w:ascii="Calibri" w:eastAsia="Times New Roman" w:hAnsi="Calibri" w:cs="Calibri"/>
                <w:b/>
                <w:bCs/>
                <w:sz w:val="16"/>
                <w:szCs w:val="16"/>
              </w:rPr>
              <w:t>Categoria C - Area socio-sanitaria</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jc w:val="right"/>
              <w:rPr>
                <w:rFonts w:ascii="Calibri" w:eastAsia="Times New Roman" w:hAnsi="Calibri" w:cs="Calibri"/>
                <w:b/>
                <w:bCs/>
                <w:sz w:val="16"/>
                <w:szCs w:val="16"/>
              </w:rPr>
            </w:pPr>
            <w:r w:rsidRPr="008E18D6">
              <w:rPr>
                <w:rFonts w:ascii="Calibri" w:eastAsia="Times New Roman" w:hAnsi="Calibri" w:cs="Calibri"/>
                <w:b/>
                <w:bCs/>
                <w:sz w:val="16"/>
                <w:szCs w:val="16"/>
              </w:rPr>
              <w:t>1</w:t>
            </w:r>
          </w:p>
        </w:tc>
        <w:tc>
          <w:tcPr>
            <w:tcW w:w="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rPr>
                <w:rFonts w:ascii="Calibri" w:eastAsia="Times New Roman" w:hAnsi="Calibri" w:cs="Calibri"/>
                <w:b/>
                <w:bCs/>
                <w:sz w:val="16"/>
                <w:szCs w:val="16"/>
              </w:rPr>
            </w:pPr>
            <w:r w:rsidRPr="008E18D6">
              <w:rPr>
                <w:rFonts w:ascii="Calibri" w:eastAsia="Times New Roman" w:hAnsi="Calibri" w:cs="Calibri"/>
                <w:b/>
                <w:bCs/>
                <w:sz w:val="16"/>
                <w:szCs w:val="16"/>
              </w:rPr>
              <w:t> </w:t>
            </w:r>
          </w:p>
        </w:tc>
        <w:tc>
          <w:tcPr>
            <w:tcW w:w="1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rPr>
                <w:rFonts w:ascii="Calibri" w:eastAsia="Times New Roman" w:hAnsi="Calibri" w:cs="Calibri"/>
                <w:b/>
                <w:bCs/>
                <w:sz w:val="16"/>
                <w:szCs w:val="16"/>
              </w:rPr>
            </w:pPr>
            <w:r w:rsidRPr="008E18D6">
              <w:rPr>
                <w:rFonts w:ascii="Calibri" w:eastAsia="Times New Roman" w:hAnsi="Calibri" w:cs="Calibri"/>
                <w:b/>
                <w:bCs/>
                <w:sz w:val="16"/>
                <w:szCs w:val="16"/>
              </w:rPr>
              <w:t> </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jc w:val="right"/>
              <w:rPr>
                <w:rFonts w:ascii="Calibri" w:eastAsia="Times New Roman" w:hAnsi="Calibri" w:cs="Calibri"/>
                <w:b/>
                <w:bCs/>
                <w:sz w:val="16"/>
                <w:szCs w:val="16"/>
              </w:rPr>
            </w:pPr>
            <w:r w:rsidRPr="008E18D6">
              <w:rPr>
                <w:rFonts w:ascii="Calibri" w:eastAsia="Times New Roman" w:hAnsi="Calibri" w:cs="Calibri"/>
                <w:b/>
                <w:bCs/>
                <w:sz w:val="16"/>
                <w:szCs w:val="16"/>
              </w:rPr>
              <w:t>1</w:t>
            </w:r>
          </w:p>
        </w:tc>
      </w:tr>
      <w:tr w:rsidR="00512AB2" w:rsidRPr="008E18D6" w:rsidTr="0060130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ind w:firstLineChars="100" w:firstLine="160"/>
              <w:rPr>
                <w:rFonts w:ascii="Calibri" w:eastAsia="Times New Roman" w:hAnsi="Calibri" w:cs="Calibri"/>
                <w:b/>
                <w:bCs/>
                <w:sz w:val="16"/>
                <w:szCs w:val="16"/>
              </w:rPr>
            </w:pPr>
            <w:r w:rsidRPr="008E18D6">
              <w:rPr>
                <w:rFonts w:ascii="Calibri" w:eastAsia="Times New Roman" w:hAnsi="Calibri" w:cs="Calibri"/>
                <w:b/>
                <w:bCs/>
                <w:sz w:val="16"/>
                <w:szCs w:val="16"/>
              </w:rPr>
              <w:t>Categoria C - Area tecnica, tecnico-scientifica ed elaborazione dati</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jc w:val="right"/>
              <w:rPr>
                <w:rFonts w:ascii="Calibri" w:eastAsia="Times New Roman" w:hAnsi="Calibri" w:cs="Calibri"/>
                <w:b/>
                <w:bCs/>
                <w:sz w:val="16"/>
                <w:szCs w:val="16"/>
              </w:rPr>
            </w:pPr>
            <w:r w:rsidRPr="008E18D6">
              <w:rPr>
                <w:rFonts w:ascii="Calibri" w:eastAsia="Times New Roman" w:hAnsi="Calibri" w:cs="Calibri"/>
                <w:b/>
                <w:bCs/>
                <w:sz w:val="16"/>
                <w:szCs w:val="16"/>
              </w:rPr>
              <w:t>73</w:t>
            </w:r>
          </w:p>
        </w:tc>
        <w:tc>
          <w:tcPr>
            <w:tcW w:w="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jc w:val="right"/>
              <w:rPr>
                <w:rFonts w:ascii="Calibri" w:eastAsia="Times New Roman" w:hAnsi="Calibri" w:cs="Calibri"/>
                <w:b/>
                <w:bCs/>
                <w:sz w:val="16"/>
                <w:szCs w:val="16"/>
              </w:rPr>
            </w:pPr>
            <w:r w:rsidRPr="008E18D6">
              <w:rPr>
                <w:rFonts w:ascii="Calibri" w:eastAsia="Times New Roman" w:hAnsi="Calibri" w:cs="Calibri"/>
                <w:b/>
                <w:bCs/>
                <w:sz w:val="16"/>
                <w:szCs w:val="16"/>
              </w:rPr>
              <w:t>8</w:t>
            </w:r>
          </w:p>
        </w:tc>
        <w:tc>
          <w:tcPr>
            <w:tcW w:w="1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jc w:val="right"/>
              <w:rPr>
                <w:rFonts w:ascii="Calibri" w:eastAsia="Times New Roman" w:hAnsi="Calibri" w:cs="Calibri"/>
                <w:b/>
                <w:bCs/>
                <w:sz w:val="16"/>
                <w:szCs w:val="16"/>
              </w:rPr>
            </w:pPr>
            <w:r w:rsidRPr="008E18D6">
              <w:rPr>
                <w:rFonts w:ascii="Calibri" w:eastAsia="Times New Roman" w:hAnsi="Calibri" w:cs="Calibri"/>
                <w:b/>
                <w:bCs/>
                <w:sz w:val="16"/>
                <w:szCs w:val="16"/>
              </w:rPr>
              <w:t>113</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jc w:val="right"/>
              <w:rPr>
                <w:rFonts w:ascii="Calibri" w:eastAsia="Times New Roman" w:hAnsi="Calibri" w:cs="Calibri"/>
                <w:b/>
                <w:bCs/>
                <w:sz w:val="16"/>
                <w:szCs w:val="16"/>
              </w:rPr>
            </w:pPr>
            <w:r w:rsidRPr="008E18D6">
              <w:rPr>
                <w:rFonts w:ascii="Calibri" w:eastAsia="Times New Roman" w:hAnsi="Calibri" w:cs="Calibri"/>
                <w:b/>
                <w:bCs/>
                <w:sz w:val="16"/>
                <w:szCs w:val="16"/>
              </w:rPr>
              <w:t>194</w:t>
            </w:r>
          </w:p>
        </w:tc>
      </w:tr>
      <w:tr w:rsidR="00512AB2" w:rsidRPr="008E18D6" w:rsidTr="0060130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ind w:firstLineChars="100" w:firstLine="160"/>
              <w:rPr>
                <w:rFonts w:ascii="Calibri" w:eastAsia="Times New Roman" w:hAnsi="Calibri" w:cs="Calibri"/>
                <w:b/>
                <w:bCs/>
                <w:sz w:val="16"/>
                <w:szCs w:val="16"/>
              </w:rPr>
            </w:pPr>
            <w:r w:rsidRPr="008E18D6">
              <w:rPr>
                <w:rFonts w:ascii="Calibri" w:eastAsia="Times New Roman" w:hAnsi="Calibri" w:cs="Calibri"/>
                <w:b/>
                <w:bCs/>
                <w:sz w:val="16"/>
                <w:szCs w:val="16"/>
              </w:rPr>
              <w:t>Categoria D - Area amministrativa-gestionale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jc w:val="right"/>
              <w:rPr>
                <w:rFonts w:ascii="Calibri" w:eastAsia="Times New Roman" w:hAnsi="Calibri" w:cs="Calibri"/>
                <w:b/>
                <w:bCs/>
                <w:sz w:val="16"/>
                <w:szCs w:val="16"/>
              </w:rPr>
            </w:pPr>
            <w:r w:rsidRPr="008E18D6">
              <w:rPr>
                <w:rFonts w:ascii="Calibri" w:eastAsia="Times New Roman" w:hAnsi="Calibri" w:cs="Calibri"/>
                <w:b/>
                <w:bCs/>
                <w:sz w:val="16"/>
                <w:szCs w:val="16"/>
              </w:rPr>
              <w:t>48</w:t>
            </w:r>
          </w:p>
        </w:tc>
        <w:tc>
          <w:tcPr>
            <w:tcW w:w="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jc w:val="right"/>
              <w:rPr>
                <w:rFonts w:ascii="Calibri" w:eastAsia="Times New Roman" w:hAnsi="Calibri" w:cs="Calibri"/>
                <w:b/>
                <w:bCs/>
                <w:sz w:val="16"/>
                <w:szCs w:val="16"/>
              </w:rPr>
            </w:pPr>
            <w:r w:rsidRPr="008E18D6">
              <w:rPr>
                <w:rFonts w:ascii="Calibri" w:eastAsia="Times New Roman" w:hAnsi="Calibri" w:cs="Calibri"/>
                <w:b/>
                <w:bCs/>
                <w:sz w:val="16"/>
                <w:szCs w:val="16"/>
              </w:rPr>
              <w:t>5</w:t>
            </w:r>
          </w:p>
        </w:tc>
        <w:tc>
          <w:tcPr>
            <w:tcW w:w="1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jc w:val="right"/>
              <w:rPr>
                <w:rFonts w:ascii="Calibri" w:eastAsia="Times New Roman" w:hAnsi="Calibri" w:cs="Calibri"/>
                <w:b/>
                <w:bCs/>
                <w:sz w:val="16"/>
                <w:szCs w:val="16"/>
              </w:rPr>
            </w:pPr>
            <w:r w:rsidRPr="008E18D6">
              <w:rPr>
                <w:rFonts w:ascii="Calibri" w:eastAsia="Times New Roman" w:hAnsi="Calibri" w:cs="Calibri"/>
                <w:b/>
                <w:bCs/>
                <w:sz w:val="16"/>
                <w:szCs w:val="16"/>
              </w:rPr>
              <w:t>25</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jc w:val="right"/>
              <w:rPr>
                <w:rFonts w:ascii="Calibri" w:eastAsia="Times New Roman" w:hAnsi="Calibri" w:cs="Calibri"/>
                <w:b/>
                <w:bCs/>
                <w:sz w:val="16"/>
                <w:szCs w:val="16"/>
              </w:rPr>
            </w:pPr>
            <w:r w:rsidRPr="008E18D6">
              <w:rPr>
                <w:rFonts w:ascii="Calibri" w:eastAsia="Times New Roman" w:hAnsi="Calibri" w:cs="Calibri"/>
                <w:b/>
                <w:bCs/>
                <w:sz w:val="16"/>
                <w:szCs w:val="16"/>
              </w:rPr>
              <w:t>78</w:t>
            </w:r>
          </w:p>
        </w:tc>
      </w:tr>
      <w:tr w:rsidR="00512AB2" w:rsidRPr="008E18D6" w:rsidTr="0060130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ind w:firstLineChars="100" w:firstLine="160"/>
              <w:rPr>
                <w:rFonts w:ascii="Calibri" w:eastAsia="Times New Roman" w:hAnsi="Calibri" w:cs="Calibri"/>
                <w:b/>
                <w:bCs/>
                <w:sz w:val="16"/>
                <w:szCs w:val="16"/>
              </w:rPr>
            </w:pPr>
            <w:r w:rsidRPr="008E18D6">
              <w:rPr>
                <w:rFonts w:ascii="Calibri" w:eastAsia="Times New Roman" w:hAnsi="Calibri" w:cs="Calibri"/>
                <w:b/>
                <w:bCs/>
                <w:sz w:val="16"/>
                <w:szCs w:val="16"/>
              </w:rPr>
              <w:t>Categoria D - Area biblioteche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jc w:val="right"/>
              <w:rPr>
                <w:rFonts w:ascii="Calibri" w:eastAsia="Times New Roman" w:hAnsi="Calibri" w:cs="Calibri"/>
                <w:b/>
                <w:bCs/>
                <w:sz w:val="16"/>
                <w:szCs w:val="16"/>
              </w:rPr>
            </w:pPr>
            <w:r w:rsidRPr="008E18D6">
              <w:rPr>
                <w:rFonts w:ascii="Calibri" w:eastAsia="Times New Roman" w:hAnsi="Calibri" w:cs="Calibri"/>
                <w:b/>
                <w:bCs/>
                <w:sz w:val="16"/>
                <w:szCs w:val="16"/>
              </w:rPr>
              <w:t>4</w:t>
            </w:r>
          </w:p>
        </w:tc>
        <w:tc>
          <w:tcPr>
            <w:tcW w:w="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rPr>
                <w:rFonts w:ascii="Calibri" w:eastAsia="Times New Roman" w:hAnsi="Calibri" w:cs="Calibri"/>
                <w:b/>
                <w:bCs/>
                <w:sz w:val="16"/>
                <w:szCs w:val="16"/>
              </w:rPr>
            </w:pPr>
            <w:r w:rsidRPr="008E18D6">
              <w:rPr>
                <w:rFonts w:ascii="Calibri" w:eastAsia="Times New Roman" w:hAnsi="Calibri" w:cs="Calibri"/>
                <w:b/>
                <w:bCs/>
                <w:sz w:val="16"/>
                <w:szCs w:val="16"/>
              </w:rPr>
              <w:t> </w:t>
            </w:r>
          </w:p>
        </w:tc>
        <w:tc>
          <w:tcPr>
            <w:tcW w:w="1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rPr>
                <w:rFonts w:ascii="Calibri" w:eastAsia="Times New Roman" w:hAnsi="Calibri" w:cs="Calibri"/>
                <w:b/>
                <w:bCs/>
                <w:sz w:val="16"/>
                <w:szCs w:val="16"/>
              </w:rPr>
            </w:pPr>
            <w:r w:rsidRPr="008E18D6">
              <w:rPr>
                <w:rFonts w:ascii="Calibri" w:eastAsia="Times New Roman" w:hAnsi="Calibri" w:cs="Calibri"/>
                <w:b/>
                <w:bCs/>
                <w:sz w:val="16"/>
                <w:szCs w:val="16"/>
              </w:rPr>
              <w:t> </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jc w:val="right"/>
              <w:rPr>
                <w:rFonts w:ascii="Calibri" w:eastAsia="Times New Roman" w:hAnsi="Calibri" w:cs="Calibri"/>
                <w:b/>
                <w:bCs/>
                <w:sz w:val="16"/>
                <w:szCs w:val="16"/>
              </w:rPr>
            </w:pPr>
            <w:r w:rsidRPr="008E18D6">
              <w:rPr>
                <w:rFonts w:ascii="Calibri" w:eastAsia="Times New Roman" w:hAnsi="Calibri" w:cs="Calibri"/>
                <w:b/>
                <w:bCs/>
                <w:sz w:val="16"/>
                <w:szCs w:val="16"/>
              </w:rPr>
              <w:t>4</w:t>
            </w:r>
          </w:p>
        </w:tc>
      </w:tr>
      <w:tr w:rsidR="00512AB2" w:rsidRPr="008E18D6" w:rsidTr="0060130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ind w:firstLineChars="100" w:firstLine="160"/>
              <w:rPr>
                <w:rFonts w:ascii="Calibri" w:eastAsia="Times New Roman" w:hAnsi="Calibri" w:cs="Calibri"/>
                <w:b/>
                <w:bCs/>
                <w:sz w:val="16"/>
                <w:szCs w:val="16"/>
              </w:rPr>
            </w:pPr>
            <w:r w:rsidRPr="008E18D6">
              <w:rPr>
                <w:rFonts w:ascii="Calibri" w:eastAsia="Times New Roman" w:hAnsi="Calibri" w:cs="Calibri"/>
                <w:b/>
                <w:bCs/>
                <w:sz w:val="16"/>
                <w:szCs w:val="16"/>
              </w:rPr>
              <w:t>Categoria D - Area tecnica, tecnico-scientifica ed elaborazione dati</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jc w:val="right"/>
              <w:rPr>
                <w:rFonts w:ascii="Calibri" w:eastAsia="Times New Roman" w:hAnsi="Calibri" w:cs="Calibri"/>
                <w:b/>
                <w:bCs/>
                <w:sz w:val="16"/>
                <w:szCs w:val="16"/>
              </w:rPr>
            </w:pPr>
            <w:r w:rsidRPr="008E18D6">
              <w:rPr>
                <w:rFonts w:ascii="Calibri" w:eastAsia="Times New Roman" w:hAnsi="Calibri" w:cs="Calibri"/>
                <w:b/>
                <w:bCs/>
                <w:sz w:val="16"/>
                <w:szCs w:val="16"/>
              </w:rPr>
              <w:t>70</w:t>
            </w:r>
          </w:p>
        </w:tc>
        <w:tc>
          <w:tcPr>
            <w:tcW w:w="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jc w:val="right"/>
              <w:rPr>
                <w:rFonts w:ascii="Calibri" w:eastAsia="Times New Roman" w:hAnsi="Calibri" w:cs="Calibri"/>
                <w:b/>
                <w:bCs/>
                <w:sz w:val="16"/>
                <w:szCs w:val="16"/>
              </w:rPr>
            </w:pPr>
            <w:r w:rsidRPr="008E18D6">
              <w:rPr>
                <w:rFonts w:ascii="Calibri" w:eastAsia="Times New Roman" w:hAnsi="Calibri" w:cs="Calibri"/>
                <w:b/>
                <w:bCs/>
                <w:sz w:val="16"/>
                <w:szCs w:val="16"/>
              </w:rPr>
              <w:t>12</w:t>
            </w:r>
          </w:p>
        </w:tc>
        <w:tc>
          <w:tcPr>
            <w:tcW w:w="1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jc w:val="right"/>
              <w:rPr>
                <w:rFonts w:ascii="Calibri" w:eastAsia="Times New Roman" w:hAnsi="Calibri" w:cs="Calibri"/>
                <w:b/>
                <w:bCs/>
                <w:sz w:val="16"/>
                <w:szCs w:val="16"/>
              </w:rPr>
            </w:pPr>
            <w:r w:rsidRPr="008E18D6">
              <w:rPr>
                <w:rFonts w:ascii="Calibri" w:eastAsia="Times New Roman" w:hAnsi="Calibri" w:cs="Calibri"/>
                <w:b/>
                <w:bCs/>
                <w:sz w:val="16"/>
                <w:szCs w:val="16"/>
              </w:rPr>
              <w:t>92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jc w:val="right"/>
              <w:rPr>
                <w:rFonts w:ascii="Calibri" w:eastAsia="Times New Roman" w:hAnsi="Calibri" w:cs="Calibri"/>
                <w:b/>
                <w:bCs/>
                <w:sz w:val="16"/>
                <w:szCs w:val="16"/>
              </w:rPr>
            </w:pPr>
            <w:r w:rsidRPr="008E18D6">
              <w:rPr>
                <w:rFonts w:ascii="Calibri" w:eastAsia="Times New Roman" w:hAnsi="Calibri" w:cs="Calibri"/>
                <w:b/>
                <w:bCs/>
                <w:sz w:val="16"/>
                <w:szCs w:val="16"/>
              </w:rPr>
              <w:t>174</w:t>
            </w:r>
          </w:p>
        </w:tc>
      </w:tr>
      <w:tr w:rsidR="00512AB2" w:rsidRPr="008E18D6" w:rsidTr="0060130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ind w:firstLineChars="100" w:firstLine="160"/>
              <w:rPr>
                <w:rFonts w:ascii="Calibri" w:eastAsia="Times New Roman" w:hAnsi="Calibri" w:cs="Calibri"/>
                <w:b/>
                <w:bCs/>
                <w:sz w:val="16"/>
                <w:szCs w:val="16"/>
              </w:rPr>
            </w:pPr>
            <w:r w:rsidRPr="008E18D6">
              <w:rPr>
                <w:rFonts w:ascii="Calibri" w:eastAsia="Times New Roman" w:hAnsi="Calibri" w:cs="Calibri"/>
                <w:b/>
                <w:bCs/>
                <w:sz w:val="16"/>
                <w:szCs w:val="16"/>
              </w:rPr>
              <w:t>Categoria EP - Area biblioteche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jc w:val="right"/>
              <w:rPr>
                <w:rFonts w:ascii="Calibri" w:eastAsia="Times New Roman" w:hAnsi="Calibri" w:cs="Calibri"/>
                <w:b/>
                <w:bCs/>
                <w:sz w:val="16"/>
                <w:szCs w:val="16"/>
              </w:rPr>
            </w:pPr>
            <w:r w:rsidRPr="008E18D6">
              <w:rPr>
                <w:rFonts w:ascii="Calibri" w:eastAsia="Times New Roman" w:hAnsi="Calibri" w:cs="Calibri"/>
                <w:b/>
                <w:bCs/>
                <w:sz w:val="16"/>
                <w:szCs w:val="16"/>
              </w:rPr>
              <w:t>3</w:t>
            </w:r>
          </w:p>
        </w:tc>
        <w:tc>
          <w:tcPr>
            <w:tcW w:w="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rPr>
                <w:rFonts w:ascii="Calibri" w:eastAsia="Times New Roman" w:hAnsi="Calibri" w:cs="Calibri"/>
                <w:b/>
                <w:bCs/>
                <w:sz w:val="16"/>
                <w:szCs w:val="16"/>
              </w:rPr>
            </w:pPr>
            <w:r w:rsidRPr="008E18D6">
              <w:rPr>
                <w:rFonts w:ascii="Calibri" w:eastAsia="Times New Roman" w:hAnsi="Calibri" w:cs="Calibri"/>
                <w:b/>
                <w:bCs/>
                <w:sz w:val="16"/>
                <w:szCs w:val="16"/>
              </w:rPr>
              <w:t> </w:t>
            </w:r>
          </w:p>
        </w:tc>
        <w:tc>
          <w:tcPr>
            <w:tcW w:w="1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rPr>
                <w:rFonts w:ascii="Calibri" w:eastAsia="Times New Roman" w:hAnsi="Calibri" w:cs="Calibri"/>
                <w:b/>
                <w:bCs/>
                <w:sz w:val="16"/>
                <w:szCs w:val="16"/>
              </w:rPr>
            </w:pPr>
            <w:r w:rsidRPr="008E18D6">
              <w:rPr>
                <w:rFonts w:ascii="Calibri" w:eastAsia="Times New Roman" w:hAnsi="Calibri" w:cs="Calibri"/>
                <w:b/>
                <w:bCs/>
                <w:sz w:val="16"/>
                <w:szCs w:val="16"/>
              </w:rPr>
              <w:t> </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jc w:val="right"/>
              <w:rPr>
                <w:rFonts w:ascii="Calibri" w:eastAsia="Times New Roman" w:hAnsi="Calibri" w:cs="Calibri"/>
                <w:b/>
                <w:bCs/>
                <w:sz w:val="16"/>
                <w:szCs w:val="16"/>
              </w:rPr>
            </w:pPr>
            <w:r w:rsidRPr="008E18D6">
              <w:rPr>
                <w:rFonts w:ascii="Calibri" w:eastAsia="Times New Roman" w:hAnsi="Calibri" w:cs="Calibri"/>
                <w:b/>
                <w:bCs/>
                <w:sz w:val="16"/>
                <w:szCs w:val="16"/>
              </w:rPr>
              <w:t>3</w:t>
            </w:r>
          </w:p>
        </w:tc>
      </w:tr>
      <w:tr w:rsidR="00512AB2" w:rsidRPr="008E18D6" w:rsidTr="0060130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ind w:firstLineChars="100" w:firstLine="160"/>
              <w:rPr>
                <w:rFonts w:ascii="Calibri" w:eastAsia="Times New Roman" w:hAnsi="Calibri" w:cs="Calibri"/>
                <w:b/>
                <w:bCs/>
                <w:sz w:val="16"/>
                <w:szCs w:val="16"/>
              </w:rPr>
            </w:pPr>
            <w:r w:rsidRPr="008E18D6">
              <w:rPr>
                <w:rFonts w:ascii="Calibri" w:eastAsia="Times New Roman" w:hAnsi="Calibri" w:cs="Calibri"/>
                <w:b/>
                <w:bCs/>
                <w:sz w:val="16"/>
                <w:szCs w:val="16"/>
              </w:rPr>
              <w:t>Categoria EP - Area tecnica, tecnico-scientifica ed elaborazione dati</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jc w:val="right"/>
              <w:rPr>
                <w:rFonts w:ascii="Calibri" w:eastAsia="Times New Roman" w:hAnsi="Calibri" w:cs="Calibri"/>
                <w:b/>
                <w:bCs/>
                <w:sz w:val="16"/>
                <w:szCs w:val="16"/>
              </w:rPr>
            </w:pPr>
            <w:r w:rsidRPr="008E18D6">
              <w:rPr>
                <w:rFonts w:ascii="Calibri" w:eastAsia="Times New Roman" w:hAnsi="Calibri" w:cs="Calibri"/>
                <w:b/>
                <w:bCs/>
                <w:sz w:val="16"/>
                <w:szCs w:val="16"/>
              </w:rPr>
              <w:t>17</w:t>
            </w:r>
          </w:p>
        </w:tc>
        <w:tc>
          <w:tcPr>
            <w:tcW w:w="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jc w:val="right"/>
              <w:rPr>
                <w:rFonts w:ascii="Calibri" w:eastAsia="Times New Roman" w:hAnsi="Calibri" w:cs="Calibri"/>
                <w:b/>
                <w:bCs/>
                <w:sz w:val="16"/>
                <w:szCs w:val="16"/>
              </w:rPr>
            </w:pPr>
            <w:r w:rsidRPr="008E18D6">
              <w:rPr>
                <w:rFonts w:ascii="Calibri" w:eastAsia="Times New Roman" w:hAnsi="Calibri" w:cs="Calibri"/>
                <w:b/>
                <w:bCs/>
                <w:sz w:val="16"/>
                <w:szCs w:val="16"/>
              </w:rPr>
              <w:t>1</w:t>
            </w:r>
          </w:p>
        </w:tc>
        <w:tc>
          <w:tcPr>
            <w:tcW w:w="1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jc w:val="right"/>
              <w:rPr>
                <w:rFonts w:ascii="Calibri" w:eastAsia="Times New Roman" w:hAnsi="Calibri" w:cs="Calibri"/>
                <w:b/>
                <w:bCs/>
                <w:sz w:val="16"/>
                <w:szCs w:val="16"/>
              </w:rPr>
            </w:pPr>
            <w:r w:rsidRPr="008E18D6">
              <w:rPr>
                <w:rFonts w:ascii="Calibri" w:eastAsia="Times New Roman" w:hAnsi="Calibri" w:cs="Calibri"/>
                <w:b/>
                <w:bCs/>
                <w:sz w:val="16"/>
                <w:szCs w:val="16"/>
              </w:rPr>
              <w:t>11</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jc w:val="right"/>
              <w:rPr>
                <w:rFonts w:ascii="Calibri" w:eastAsia="Times New Roman" w:hAnsi="Calibri" w:cs="Calibri"/>
                <w:b/>
                <w:bCs/>
                <w:sz w:val="16"/>
                <w:szCs w:val="16"/>
              </w:rPr>
            </w:pPr>
            <w:r w:rsidRPr="008E18D6">
              <w:rPr>
                <w:rFonts w:ascii="Calibri" w:eastAsia="Times New Roman" w:hAnsi="Calibri" w:cs="Calibri"/>
                <w:b/>
                <w:bCs/>
                <w:sz w:val="16"/>
                <w:szCs w:val="16"/>
              </w:rPr>
              <w:t>29</w:t>
            </w:r>
          </w:p>
        </w:tc>
      </w:tr>
      <w:tr w:rsidR="00512AB2" w:rsidRPr="008E18D6" w:rsidTr="0060130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ind w:firstLineChars="100" w:firstLine="160"/>
              <w:rPr>
                <w:rFonts w:ascii="Calibri" w:eastAsia="Times New Roman" w:hAnsi="Calibri" w:cs="Calibri"/>
                <w:b/>
                <w:bCs/>
                <w:sz w:val="16"/>
                <w:szCs w:val="16"/>
              </w:rPr>
            </w:pPr>
            <w:r w:rsidRPr="008E18D6">
              <w:rPr>
                <w:rFonts w:ascii="Calibri" w:eastAsia="Times New Roman" w:hAnsi="Calibri" w:cs="Calibri"/>
                <w:b/>
                <w:bCs/>
                <w:sz w:val="16"/>
                <w:szCs w:val="16"/>
              </w:rPr>
              <w:t>Categoria EP- Area amministrativa-gestionale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jc w:val="right"/>
              <w:rPr>
                <w:rFonts w:ascii="Calibri" w:eastAsia="Times New Roman" w:hAnsi="Calibri" w:cs="Calibri"/>
                <w:b/>
                <w:bCs/>
                <w:sz w:val="16"/>
                <w:szCs w:val="16"/>
              </w:rPr>
            </w:pPr>
            <w:r w:rsidRPr="008E18D6">
              <w:rPr>
                <w:rFonts w:ascii="Calibri" w:eastAsia="Times New Roman" w:hAnsi="Calibri" w:cs="Calibri"/>
                <w:b/>
                <w:bCs/>
                <w:sz w:val="16"/>
                <w:szCs w:val="16"/>
              </w:rPr>
              <w:t>10</w:t>
            </w:r>
          </w:p>
        </w:tc>
        <w:tc>
          <w:tcPr>
            <w:tcW w:w="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rPr>
                <w:rFonts w:ascii="Calibri" w:eastAsia="Times New Roman" w:hAnsi="Calibri" w:cs="Calibri"/>
                <w:b/>
                <w:bCs/>
                <w:sz w:val="16"/>
                <w:szCs w:val="16"/>
              </w:rPr>
            </w:pPr>
            <w:r w:rsidRPr="008E18D6">
              <w:rPr>
                <w:rFonts w:ascii="Calibri" w:eastAsia="Times New Roman" w:hAnsi="Calibri" w:cs="Calibri"/>
                <w:b/>
                <w:bCs/>
                <w:sz w:val="16"/>
                <w:szCs w:val="16"/>
              </w:rPr>
              <w:t> </w:t>
            </w:r>
          </w:p>
        </w:tc>
        <w:tc>
          <w:tcPr>
            <w:tcW w:w="1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jc w:val="right"/>
              <w:rPr>
                <w:rFonts w:ascii="Calibri" w:eastAsia="Times New Roman" w:hAnsi="Calibri" w:cs="Calibri"/>
                <w:b/>
                <w:bCs/>
                <w:sz w:val="16"/>
                <w:szCs w:val="16"/>
              </w:rPr>
            </w:pPr>
            <w:r w:rsidRPr="008E18D6">
              <w:rPr>
                <w:rFonts w:ascii="Calibri" w:eastAsia="Times New Roman" w:hAnsi="Calibri" w:cs="Calibri"/>
                <w:b/>
                <w:bCs/>
                <w:sz w:val="16"/>
                <w:szCs w:val="16"/>
              </w:rPr>
              <w:t>1</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jc w:val="right"/>
              <w:rPr>
                <w:rFonts w:ascii="Calibri" w:eastAsia="Times New Roman" w:hAnsi="Calibri" w:cs="Calibri"/>
                <w:b/>
                <w:bCs/>
                <w:sz w:val="16"/>
                <w:szCs w:val="16"/>
              </w:rPr>
            </w:pPr>
            <w:r w:rsidRPr="008E18D6">
              <w:rPr>
                <w:rFonts w:ascii="Calibri" w:eastAsia="Times New Roman" w:hAnsi="Calibri" w:cs="Calibri"/>
                <w:b/>
                <w:bCs/>
                <w:sz w:val="16"/>
                <w:szCs w:val="16"/>
              </w:rPr>
              <w:t>11</w:t>
            </w:r>
          </w:p>
        </w:tc>
      </w:tr>
      <w:tr w:rsidR="00512AB2" w:rsidRPr="008E18D6" w:rsidTr="0060130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ind w:firstLineChars="100" w:firstLine="160"/>
              <w:rPr>
                <w:rFonts w:ascii="Calibri" w:eastAsia="Times New Roman" w:hAnsi="Calibri" w:cs="Calibri"/>
                <w:b/>
                <w:bCs/>
                <w:sz w:val="16"/>
                <w:szCs w:val="16"/>
              </w:rPr>
            </w:pPr>
            <w:r w:rsidRPr="008E18D6">
              <w:rPr>
                <w:rFonts w:ascii="Calibri" w:eastAsia="Times New Roman" w:hAnsi="Calibri" w:cs="Calibri"/>
                <w:b/>
                <w:bCs/>
                <w:sz w:val="16"/>
                <w:szCs w:val="16"/>
              </w:rPr>
              <w:t>DIRIGENTE A TEMPO DETERMINATO</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jc w:val="right"/>
              <w:rPr>
                <w:rFonts w:ascii="Calibri" w:eastAsia="Times New Roman" w:hAnsi="Calibri" w:cs="Calibri"/>
                <w:b/>
                <w:bCs/>
                <w:sz w:val="16"/>
                <w:szCs w:val="16"/>
              </w:rPr>
            </w:pPr>
            <w:r w:rsidRPr="008E18D6">
              <w:rPr>
                <w:rFonts w:ascii="Calibri" w:eastAsia="Times New Roman" w:hAnsi="Calibri" w:cs="Calibri"/>
                <w:b/>
                <w:bCs/>
                <w:sz w:val="16"/>
                <w:szCs w:val="16"/>
              </w:rPr>
              <w:t>1</w:t>
            </w:r>
          </w:p>
        </w:tc>
        <w:tc>
          <w:tcPr>
            <w:tcW w:w="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rPr>
                <w:rFonts w:ascii="Calibri" w:eastAsia="Times New Roman" w:hAnsi="Calibri" w:cs="Calibri"/>
                <w:b/>
                <w:bCs/>
                <w:sz w:val="16"/>
                <w:szCs w:val="16"/>
              </w:rPr>
            </w:pPr>
            <w:r w:rsidRPr="008E18D6">
              <w:rPr>
                <w:rFonts w:ascii="Calibri" w:eastAsia="Times New Roman" w:hAnsi="Calibri" w:cs="Calibri"/>
                <w:b/>
                <w:bCs/>
                <w:sz w:val="16"/>
                <w:szCs w:val="16"/>
              </w:rPr>
              <w:t> </w:t>
            </w:r>
          </w:p>
        </w:tc>
        <w:tc>
          <w:tcPr>
            <w:tcW w:w="1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rPr>
                <w:rFonts w:ascii="Calibri" w:eastAsia="Times New Roman" w:hAnsi="Calibri" w:cs="Calibri"/>
                <w:b/>
                <w:bCs/>
                <w:sz w:val="16"/>
                <w:szCs w:val="16"/>
              </w:rPr>
            </w:pPr>
            <w:r w:rsidRPr="008E18D6">
              <w:rPr>
                <w:rFonts w:ascii="Calibri" w:eastAsia="Times New Roman" w:hAnsi="Calibri" w:cs="Calibri"/>
                <w:b/>
                <w:bCs/>
                <w:sz w:val="16"/>
                <w:szCs w:val="16"/>
              </w:rPr>
              <w:t> </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jc w:val="right"/>
              <w:rPr>
                <w:rFonts w:ascii="Calibri" w:eastAsia="Times New Roman" w:hAnsi="Calibri" w:cs="Calibri"/>
                <w:b/>
                <w:bCs/>
                <w:sz w:val="16"/>
                <w:szCs w:val="16"/>
              </w:rPr>
            </w:pPr>
            <w:r w:rsidRPr="008E18D6">
              <w:rPr>
                <w:rFonts w:ascii="Calibri" w:eastAsia="Times New Roman" w:hAnsi="Calibri" w:cs="Calibri"/>
                <w:b/>
                <w:bCs/>
                <w:sz w:val="16"/>
                <w:szCs w:val="16"/>
              </w:rPr>
              <w:t>1</w:t>
            </w:r>
          </w:p>
        </w:tc>
      </w:tr>
      <w:tr w:rsidR="00512AB2" w:rsidRPr="008E18D6" w:rsidTr="0060130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ind w:firstLineChars="100" w:firstLine="160"/>
              <w:rPr>
                <w:rFonts w:ascii="Calibri" w:eastAsia="Times New Roman" w:hAnsi="Calibri" w:cs="Calibri"/>
                <w:b/>
                <w:bCs/>
                <w:sz w:val="16"/>
                <w:szCs w:val="16"/>
              </w:rPr>
            </w:pPr>
            <w:r w:rsidRPr="008E18D6">
              <w:rPr>
                <w:rFonts w:ascii="Calibri" w:eastAsia="Times New Roman" w:hAnsi="Calibri" w:cs="Calibri"/>
                <w:b/>
                <w:bCs/>
                <w:sz w:val="16"/>
                <w:szCs w:val="16"/>
              </w:rPr>
              <w:t>Dirigente II fascia</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jc w:val="right"/>
              <w:rPr>
                <w:rFonts w:ascii="Calibri" w:eastAsia="Times New Roman" w:hAnsi="Calibri" w:cs="Calibri"/>
                <w:b/>
                <w:bCs/>
                <w:sz w:val="16"/>
                <w:szCs w:val="16"/>
              </w:rPr>
            </w:pPr>
            <w:r w:rsidRPr="008E18D6">
              <w:rPr>
                <w:rFonts w:ascii="Calibri" w:eastAsia="Times New Roman" w:hAnsi="Calibri" w:cs="Calibri"/>
                <w:b/>
                <w:bCs/>
                <w:sz w:val="16"/>
                <w:szCs w:val="16"/>
              </w:rPr>
              <w:t>4</w:t>
            </w:r>
          </w:p>
        </w:tc>
        <w:tc>
          <w:tcPr>
            <w:tcW w:w="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rPr>
                <w:rFonts w:ascii="Calibri" w:eastAsia="Times New Roman" w:hAnsi="Calibri" w:cs="Calibri"/>
                <w:b/>
                <w:bCs/>
                <w:sz w:val="16"/>
                <w:szCs w:val="16"/>
              </w:rPr>
            </w:pPr>
            <w:r w:rsidRPr="008E18D6">
              <w:rPr>
                <w:rFonts w:ascii="Calibri" w:eastAsia="Times New Roman" w:hAnsi="Calibri" w:cs="Calibri"/>
                <w:b/>
                <w:bCs/>
                <w:sz w:val="16"/>
                <w:szCs w:val="16"/>
              </w:rPr>
              <w:t> </w:t>
            </w:r>
          </w:p>
        </w:tc>
        <w:tc>
          <w:tcPr>
            <w:tcW w:w="1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rPr>
                <w:rFonts w:ascii="Calibri" w:eastAsia="Times New Roman" w:hAnsi="Calibri" w:cs="Calibri"/>
                <w:b/>
                <w:bCs/>
                <w:sz w:val="16"/>
                <w:szCs w:val="16"/>
              </w:rPr>
            </w:pPr>
            <w:r w:rsidRPr="008E18D6">
              <w:rPr>
                <w:rFonts w:ascii="Calibri" w:eastAsia="Times New Roman" w:hAnsi="Calibri" w:cs="Calibri"/>
                <w:b/>
                <w:bCs/>
                <w:sz w:val="16"/>
                <w:szCs w:val="16"/>
              </w:rPr>
              <w:t> </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jc w:val="right"/>
              <w:rPr>
                <w:rFonts w:ascii="Calibri" w:eastAsia="Times New Roman" w:hAnsi="Calibri" w:cs="Calibri"/>
                <w:b/>
                <w:bCs/>
                <w:sz w:val="16"/>
                <w:szCs w:val="16"/>
              </w:rPr>
            </w:pPr>
            <w:r w:rsidRPr="008E18D6">
              <w:rPr>
                <w:rFonts w:ascii="Calibri" w:eastAsia="Times New Roman" w:hAnsi="Calibri" w:cs="Calibri"/>
                <w:b/>
                <w:bCs/>
                <w:sz w:val="16"/>
                <w:szCs w:val="16"/>
              </w:rPr>
              <w:t>4</w:t>
            </w:r>
          </w:p>
        </w:tc>
      </w:tr>
      <w:tr w:rsidR="00512AB2" w:rsidRPr="008E18D6" w:rsidTr="0060130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ind w:firstLineChars="100" w:firstLine="160"/>
              <w:rPr>
                <w:rFonts w:ascii="Calibri" w:eastAsia="Times New Roman" w:hAnsi="Calibri" w:cs="Calibri"/>
                <w:b/>
                <w:bCs/>
                <w:sz w:val="16"/>
                <w:szCs w:val="16"/>
              </w:rPr>
            </w:pPr>
            <w:r w:rsidRPr="008E18D6">
              <w:rPr>
                <w:rFonts w:ascii="Calibri" w:eastAsia="Times New Roman" w:hAnsi="Calibri" w:cs="Calibri"/>
                <w:b/>
                <w:bCs/>
                <w:sz w:val="16"/>
                <w:szCs w:val="16"/>
              </w:rPr>
              <w:t>Tecnologo di I livello</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rPr>
                <w:rFonts w:ascii="Calibri" w:eastAsia="Times New Roman" w:hAnsi="Calibri" w:cs="Calibri"/>
                <w:b/>
                <w:bCs/>
                <w:sz w:val="16"/>
                <w:szCs w:val="16"/>
              </w:rPr>
            </w:pPr>
            <w:r w:rsidRPr="008E18D6">
              <w:rPr>
                <w:rFonts w:ascii="Calibri" w:eastAsia="Times New Roman" w:hAnsi="Calibri" w:cs="Calibri"/>
                <w:b/>
                <w:bCs/>
                <w:sz w:val="16"/>
                <w:szCs w:val="16"/>
              </w:rPr>
              <w:t> </w:t>
            </w:r>
          </w:p>
        </w:tc>
        <w:tc>
          <w:tcPr>
            <w:tcW w:w="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rPr>
                <w:rFonts w:ascii="Calibri" w:eastAsia="Times New Roman" w:hAnsi="Calibri" w:cs="Calibri"/>
                <w:b/>
                <w:bCs/>
                <w:sz w:val="16"/>
                <w:szCs w:val="16"/>
              </w:rPr>
            </w:pPr>
            <w:r w:rsidRPr="008E18D6">
              <w:rPr>
                <w:rFonts w:ascii="Calibri" w:eastAsia="Times New Roman" w:hAnsi="Calibri" w:cs="Calibri"/>
                <w:b/>
                <w:bCs/>
                <w:sz w:val="16"/>
                <w:szCs w:val="16"/>
              </w:rPr>
              <w:t> </w:t>
            </w:r>
          </w:p>
        </w:tc>
        <w:tc>
          <w:tcPr>
            <w:tcW w:w="1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jc w:val="right"/>
              <w:rPr>
                <w:rFonts w:ascii="Calibri" w:eastAsia="Times New Roman" w:hAnsi="Calibri" w:cs="Calibri"/>
                <w:b/>
                <w:bCs/>
                <w:sz w:val="16"/>
                <w:szCs w:val="16"/>
              </w:rPr>
            </w:pPr>
            <w:r w:rsidRPr="008E18D6">
              <w:rPr>
                <w:rFonts w:ascii="Calibri" w:eastAsia="Times New Roman" w:hAnsi="Calibri" w:cs="Calibri"/>
                <w:b/>
                <w:bCs/>
                <w:sz w:val="16"/>
                <w:szCs w:val="16"/>
              </w:rPr>
              <w:t>3</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jc w:val="right"/>
              <w:rPr>
                <w:rFonts w:ascii="Calibri" w:eastAsia="Times New Roman" w:hAnsi="Calibri" w:cs="Calibri"/>
                <w:b/>
                <w:bCs/>
                <w:sz w:val="16"/>
                <w:szCs w:val="16"/>
              </w:rPr>
            </w:pPr>
            <w:r w:rsidRPr="008E18D6">
              <w:rPr>
                <w:rFonts w:ascii="Calibri" w:eastAsia="Times New Roman" w:hAnsi="Calibri" w:cs="Calibri"/>
                <w:b/>
                <w:bCs/>
                <w:sz w:val="16"/>
                <w:szCs w:val="16"/>
              </w:rPr>
              <w:t>3</w:t>
            </w:r>
          </w:p>
        </w:tc>
      </w:tr>
      <w:tr w:rsidR="00512AB2" w:rsidRPr="008E18D6" w:rsidTr="0060130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ind w:firstLineChars="100" w:firstLine="160"/>
              <w:rPr>
                <w:rFonts w:ascii="Calibri" w:eastAsia="Times New Roman" w:hAnsi="Calibri" w:cs="Calibri"/>
                <w:b/>
                <w:bCs/>
                <w:sz w:val="16"/>
                <w:szCs w:val="16"/>
              </w:rPr>
            </w:pPr>
            <w:r w:rsidRPr="008E18D6">
              <w:rPr>
                <w:rFonts w:ascii="Calibri" w:eastAsia="Times New Roman" w:hAnsi="Calibri" w:cs="Calibri"/>
                <w:b/>
                <w:bCs/>
                <w:sz w:val="16"/>
                <w:szCs w:val="16"/>
              </w:rPr>
              <w:t>Tecnologo di II livello</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rPr>
                <w:rFonts w:ascii="Calibri" w:eastAsia="Times New Roman" w:hAnsi="Calibri" w:cs="Calibri"/>
                <w:b/>
                <w:bCs/>
                <w:sz w:val="16"/>
                <w:szCs w:val="16"/>
              </w:rPr>
            </w:pPr>
            <w:r w:rsidRPr="008E18D6">
              <w:rPr>
                <w:rFonts w:ascii="Calibri" w:eastAsia="Times New Roman" w:hAnsi="Calibri" w:cs="Calibri"/>
                <w:b/>
                <w:bCs/>
                <w:sz w:val="16"/>
                <w:szCs w:val="16"/>
              </w:rPr>
              <w:t> </w:t>
            </w:r>
          </w:p>
        </w:tc>
        <w:tc>
          <w:tcPr>
            <w:tcW w:w="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rPr>
                <w:rFonts w:ascii="Calibri" w:eastAsia="Times New Roman" w:hAnsi="Calibri" w:cs="Calibri"/>
                <w:b/>
                <w:bCs/>
                <w:sz w:val="16"/>
                <w:szCs w:val="16"/>
              </w:rPr>
            </w:pPr>
            <w:r w:rsidRPr="008E18D6">
              <w:rPr>
                <w:rFonts w:ascii="Calibri" w:eastAsia="Times New Roman" w:hAnsi="Calibri" w:cs="Calibri"/>
                <w:b/>
                <w:bCs/>
                <w:sz w:val="16"/>
                <w:szCs w:val="16"/>
              </w:rPr>
              <w:t> </w:t>
            </w:r>
          </w:p>
        </w:tc>
        <w:tc>
          <w:tcPr>
            <w:tcW w:w="1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jc w:val="right"/>
              <w:rPr>
                <w:rFonts w:ascii="Calibri" w:eastAsia="Times New Roman" w:hAnsi="Calibri" w:cs="Calibri"/>
                <w:b/>
                <w:bCs/>
                <w:sz w:val="16"/>
                <w:szCs w:val="16"/>
              </w:rPr>
            </w:pPr>
            <w:r w:rsidRPr="008E18D6">
              <w:rPr>
                <w:rFonts w:ascii="Calibri" w:eastAsia="Times New Roman" w:hAnsi="Calibri" w:cs="Calibri"/>
                <w:b/>
                <w:bCs/>
                <w:sz w:val="16"/>
                <w:szCs w:val="16"/>
              </w:rPr>
              <w:t>3</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jc w:val="right"/>
              <w:rPr>
                <w:rFonts w:ascii="Calibri" w:eastAsia="Times New Roman" w:hAnsi="Calibri" w:cs="Calibri"/>
                <w:b/>
                <w:bCs/>
                <w:sz w:val="16"/>
                <w:szCs w:val="16"/>
              </w:rPr>
            </w:pPr>
            <w:r w:rsidRPr="008E18D6">
              <w:rPr>
                <w:rFonts w:ascii="Calibri" w:eastAsia="Times New Roman" w:hAnsi="Calibri" w:cs="Calibri"/>
                <w:b/>
                <w:bCs/>
                <w:sz w:val="16"/>
                <w:szCs w:val="16"/>
              </w:rPr>
              <w:t>3</w:t>
            </w:r>
          </w:p>
        </w:tc>
      </w:tr>
      <w:tr w:rsidR="00512AB2" w:rsidRPr="008E18D6" w:rsidTr="0060130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ind w:firstLineChars="100" w:firstLine="160"/>
              <w:rPr>
                <w:rFonts w:ascii="Calibri" w:eastAsia="Times New Roman" w:hAnsi="Calibri" w:cs="Calibri"/>
                <w:b/>
                <w:bCs/>
                <w:sz w:val="16"/>
                <w:szCs w:val="16"/>
              </w:rPr>
            </w:pPr>
            <w:r w:rsidRPr="008E18D6">
              <w:rPr>
                <w:rFonts w:ascii="Calibri" w:eastAsia="Times New Roman" w:hAnsi="Calibri" w:cs="Calibri"/>
                <w:b/>
                <w:bCs/>
                <w:sz w:val="16"/>
                <w:szCs w:val="16"/>
              </w:rPr>
              <w:t>Categoria C - Area amministrativa - TD</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jc w:val="right"/>
              <w:rPr>
                <w:rFonts w:ascii="Calibri" w:eastAsia="Times New Roman" w:hAnsi="Calibri" w:cs="Calibri"/>
                <w:b/>
                <w:bCs/>
                <w:sz w:val="16"/>
                <w:szCs w:val="16"/>
              </w:rPr>
            </w:pPr>
            <w:r w:rsidRPr="008E18D6">
              <w:rPr>
                <w:rFonts w:ascii="Calibri" w:eastAsia="Times New Roman" w:hAnsi="Calibri" w:cs="Calibri"/>
                <w:b/>
                <w:bCs/>
                <w:sz w:val="16"/>
                <w:szCs w:val="16"/>
              </w:rPr>
              <w:t>2</w:t>
            </w:r>
          </w:p>
        </w:tc>
        <w:tc>
          <w:tcPr>
            <w:tcW w:w="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rPr>
                <w:rFonts w:ascii="Calibri" w:eastAsia="Times New Roman" w:hAnsi="Calibri" w:cs="Calibri"/>
                <w:b/>
                <w:bCs/>
                <w:sz w:val="16"/>
                <w:szCs w:val="16"/>
              </w:rPr>
            </w:pPr>
            <w:r w:rsidRPr="008E18D6">
              <w:rPr>
                <w:rFonts w:ascii="Calibri" w:eastAsia="Times New Roman" w:hAnsi="Calibri" w:cs="Calibri"/>
                <w:b/>
                <w:bCs/>
                <w:sz w:val="16"/>
                <w:szCs w:val="16"/>
              </w:rPr>
              <w:t> </w:t>
            </w:r>
          </w:p>
        </w:tc>
        <w:tc>
          <w:tcPr>
            <w:tcW w:w="1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rPr>
                <w:rFonts w:ascii="Calibri" w:eastAsia="Times New Roman" w:hAnsi="Calibri" w:cs="Calibri"/>
                <w:b/>
                <w:bCs/>
                <w:sz w:val="16"/>
                <w:szCs w:val="16"/>
              </w:rPr>
            </w:pPr>
            <w:r w:rsidRPr="008E18D6">
              <w:rPr>
                <w:rFonts w:ascii="Calibri" w:eastAsia="Times New Roman" w:hAnsi="Calibri" w:cs="Calibri"/>
                <w:b/>
                <w:bCs/>
                <w:sz w:val="16"/>
                <w:szCs w:val="16"/>
              </w:rPr>
              <w:t> </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jc w:val="right"/>
              <w:rPr>
                <w:rFonts w:ascii="Calibri" w:eastAsia="Times New Roman" w:hAnsi="Calibri" w:cs="Calibri"/>
                <w:b/>
                <w:bCs/>
                <w:sz w:val="16"/>
                <w:szCs w:val="16"/>
              </w:rPr>
            </w:pPr>
            <w:r w:rsidRPr="008E18D6">
              <w:rPr>
                <w:rFonts w:ascii="Calibri" w:eastAsia="Times New Roman" w:hAnsi="Calibri" w:cs="Calibri"/>
                <w:b/>
                <w:bCs/>
                <w:sz w:val="16"/>
                <w:szCs w:val="16"/>
              </w:rPr>
              <w:t>2</w:t>
            </w:r>
          </w:p>
        </w:tc>
      </w:tr>
      <w:tr w:rsidR="00512AB2" w:rsidRPr="008E18D6" w:rsidTr="0060130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ind w:firstLineChars="100" w:firstLine="160"/>
              <w:rPr>
                <w:rFonts w:ascii="Calibri" w:eastAsia="Times New Roman" w:hAnsi="Calibri" w:cs="Calibri"/>
                <w:b/>
                <w:bCs/>
                <w:sz w:val="16"/>
                <w:szCs w:val="16"/>
              </w:rPr>
            </w:pPr>
            <w:r w:rsidRPr="008E18D6">
              <w:rPr>
                <w:rFonts w:ascii="Calibri" w:eastAsia="Times New Roman" w:hAnsi="Calibri" w:cs="Calibri"/>
                <w:b/>
                <w:bCs/>
                <w:sz w:val="16"/>
                <w:szCs w:val="16"/>
              </w:rPr>
              <w:t>Categoria C - Area tecnica, tecnico-scientifica ed elaborazione dati - TD</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jc w:val="right"/>
              <w:rPr>
                <w:rFonts w:ascii="Calibri" w:eastAsia="Times New Roman" w:hAnsi="Calibri" w:cs="Calibri"/>
                <w:b/>
                <w:bCs/>
                <w:sz w:val="16"/>
                <w:szCs w:val="16"/>
              </w:rPr>
            </w:pPr>
            <w:r w:rsidRPr="008E18D6">
              <w:rPr>
                <w:rFonts w:ascii="Calibri" w:eastAsia="Times New Roman" w:hAnsi="Calibri" w:cs="Calibri"/>
                <w:b/>
                <w:bCs/>
                <w:sz w:val="16"/>
                <w:szCs w:val="16"/>
              </w:rPr>
              <w:t>1</w:t>
            </w:r>
          </w:p>
        </w:tc>
        <w:tc>
          <w:tcPr>
            <w:tcW w:w="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rPr>
                <w:rFonts w:ascii="Calibri" w:eastAsia="Times New Roman" w:hAnsi="Calibri" w:cs="Calibri"/>
                <w:b/>
                <w:bCs/>
                <w:sz w:val="16"/>
                <w:szCs w:val="16"/>
              </w:rPr>
            </w:pPr>
            <w:r w:rsidRPr="008E18D6">
              <w:rPr>
                <w:rFonts w:ascii="Calibri" w:eastAsia="Times New Roman" w:hAnsi="Calibri" w:cs="Calibri"/>
                <w:b/>
                <w:bCs/>
                <w:sz w:val="16"/>
                <w:szCs w:val="16"/>
              </w:rPr>
              <w:t> </w:t>
            </w:r>
          </w:p>
        </w:tc>
        <w:tc>
          <w:tcPr>
            <w:tcW w:w="1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rPr>
                <w:rFonts w:ascii="Calibri" w:eastAsia="Times New Roman" w:hAnsi="Calibri" w:cs="Calibri"/>
                <w:b/>
                <w:bCs/>
                <w:sz w:val="16"/>
                <w:szCs w:val="16"/>
              </w:rPr>
            </w:pPr>
            <w:r w:rsidRPr="008E18D6">
              <w:rPr>
                <w:rFonts w:ascii="Calibri" w:eastAsia="Times New Roman" w:hAnsi="Calibri" w:cs="Calibri"/>
                <w:b/>
                <w:bCs/>
                <w:sz w:val="16"/>
                <w:szCs w:val="16"/>
              </w:rPr>
              <w:t> </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jc w:val="right"/>
              <w:rPr>
                <w:rFonts w:ascii="Calibri" w:eastAsia="Times New Roman" w:hAnsi="Calibri" w:cs="Calibri"/>
                <w:b/>
                <w:bCs/>
                <w:sz w:val="16"/>
                <w:szCs w:val="16"/>
              </w:rPr>
            </w:pPr>
            <w:r w:rsidRPr="008E18D6">
              <w:rPr>
                <w:rFonts w:ascii="Calibri" w:eastAsia="Times New Roman" w:hAnsi="Calibri" w:cs="Calibri"/>
                <w:b/>
                <w:bCs/>
                <w:sz w:val="16"/>
                <w:szCs w:val="16"/>
              </w:rPr>
              <w:t>1</w:t>
            </w:r>
          </w:p>
        </w:tc>
      </w:tr>
      <w:tr w:rsidR="00512AB2" w:rsidRPr="008E18D6" w:rsidTr="0060130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ind w:firstLineChars="100" w:firstLine="160"/>
              <w:rPr>
                <w:rFonts w:ascii="Calibri" w:eastAsia="Times New Roman" w:hAnsi="Calibri" w:cs="Calibri"/>
                <w:b/>
                <w:bCs/>
                <w:sz w:val="16"/>
                <w:szCs w:val="16"/>
              </w:rPr>
            </w:pPr>
            <w:r w:rsidRPr="008E18D6">
              <w:rPr>
                <w:rFonts w:ascii="Calibri" w:eastAsia="Times New Roman" w:hAnsi="Calibri" w:cs="Calibri"/>
                <w:b/>
                <w:bCs/>
                <w:sz w:val="16"/>
                <w:szCs w:val="16"/>
              </w:rPr>
              <w:t>Categoria D - Area amministrativa-gestionale - TD</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jc w:val="right"/>
              <w:rPr>
                <w:rFonts w:ascii="Calibri" w:eastAsia="Times New Roman" w:hAnsi="Calibri" w:cs="Calibri"/>
                <w:b/>
                <w:bCs/>
                <w:sz w:val="16"/>
                <w:szCs w:val="16"/>
              </w:rPr>
            </w:pPr>
            <w:r w:rsidRPr="008E18D6">
              <w:rPr>
                <w:rFonts w:ascii="Calibri" w:eastAsia="Times New Roman" w:hAnsi="Calibri" w:cs="Calibri"/>
                <w:b/>
                <w:bCs/>
                <w:sz w:val="16"/>
                <w:szCs w:val="16"/>
              </w:rPr>
              <w:t>3</w:t>
            </w:r>
          </w:p>
        </w:tc>
        <w:tc>
          <w:tcPr>
            <w:tcW w:w="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rPr>
                <w:rFonts w:ascii="Calibri" w:eastAsia="Times New Roman" w:hAnsi="Calibri" w:cs="Calibri"/>
                <w:b/>
                <w:bCs/>
                <w:sz w:val="16"/>
                <w:szCs w:val="16"/>
              </w:rPr>
            </w:pPr>
            <w:r w:rsidRPr="008E18D6">
              <w:rPr>
                <w:rFonts w:ascii="Calibri" w:eastAsia="Times New Roman" w:hAnsi="Calibri" w:cs="Calibri"/>
                <w:b/>
                <w:bCs/>
                <w:sz w:val="16"/>
                <w:szCs w:val="16"/>
              </w:rPr>
              <w:t> </w:t>
            </w:r>
          </w:p>
        </w:tc>
        <w:tc>
          <w:tcPr>
            <w:tcW w:w="1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jc w:val="right"/>
              <w:rPr>
                <w:rFonts w:ascii="Calibri" w:eastAsia="Times New Roman" w:hAnsi="Calibri" w:cs="Calibri"/>
                <w:b/>
                <w:bCs/>
                <w:sz w:val="16"/>
                <w:szCs w:val="16"/>
              </w:rPr>
            </w:pPr>
            <w:r w:rsidRPr="008E18D6">
              <w:rPr>
                <w:rFonts w:ascii="Calibri" w:eastAsia="Times New Roman" w:hAnsi="Calibri" w:cs="Calibri"/>
                <w:b/>
                <w:bCs/>
                <w:sz w:val="16"/>
                <w:szCs w:val="16"/>
              </w:rPr>
              <w:t>1</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jc w:val="right"/>
              <w:rPr>
                <w:rFonts w:ascii="Calibri" w:eastAsia="Times New Roman" w:hAnsi="Calibri" w:cs="Calibri"/>
                <w:b/>
                <w:bCs/>
                <w:sz w:val="16"/>
                <w:szCs w:val="16"/>
              </w:rPr>
            </w:pPr>
            <w:r w:rsidRPr="008E18D6">
              <w:rPr>
                <w:rFonts w:ascii="Calibri" w:eastAsia="Times New Roman" w:hAnsi="Calibri" w:cs="Calibri"/>
                <w:b/>
                <w:bCs/>
                <w:sz w:val="16"/>
                <w:szCs w:val="16"/>
              </w:rPr>
              <w:t>4</w:t>
            </w:r>
          </w:p>
        </w:tc>
      </w:tr>
      <w:tr w:rsidR="00512AB2" w:rsidRPr="008E18D6" w:rsidTr="00601306">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ind w:firstLineChars="100" w:firstLine="160"/>
              <w:rPr>
                <w:rFonts w:ascii="Calibri" w:eastAsia="Times New Roman" w:hAnsi="Calibri" w:cs="Calibri"/>
                <w:b/>
                <w:bCs/>
                <w:sz w:val="16"/>
                <w:szCs w:val="16"/>
              </w:rPr>
            </w:pPr>
            <w:r w:rsidRPr="008E18D6">
              <w:rPr>
                <w:rFonts w:ascii="Calibri" w:eastAsia="Times New Roman" w:hAnsi="Calibri" w:cs="Calibri"/>
                <w:b/>
                <w:bCs/>
                <w:sz w:val="16"/>
                <w:szCs w:val="16"/>
              </w:rPr>
              <w:t>Categoria D - Area tecnica, tecnico-scientifica ed elaborazione dati - TD</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rPr>
                <w:rFonts w:ascii="Calibri" w:eastAsia="Times New Roman" w:hAnsi="Calibri" w:cs="Calibri"/>
                <w:b/>
                <w:bCs/>
                <w:sz w:val="16"/>
                <w:szCs w:val="16"/>
              </w:rPr>
            </w:pPr>
            <w:r w:rsidRPr="008E18D6">
              <w:rPr>
                <w:rFonts w:ascii="Calibri" w:eastAsia="Times New Roman" w:hAnsi="Calibri" w:cs="Calibri"/>
                <w:b/>
                <w:bCs/>
                <w:sz w:val="16"/>
                <w:szCs w:val="16"/>
              </w:rPr>
              <w:t> </w:t>
            </w:r>
          </w:p>
        </w:tc>
        <w:tc>
          <w:tcPr>
            <w:tcW w:w="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rPr>
                <w:rFonts w:ascii="Calibri" w:eastAsia="Times New Roman" w:hAnsi="Calibri" w:cs="Calibri"/>
                <w:b/>
                <w:bCs/>
                <w:sz w:val="16"/>
                <w:szCs w:val="16"/>
              </w:rPr>
            </w:pPr>
            <w:r w:rsidRPr="008E18D6">
              <w:rPr>
                <w:rFonts w:ascii="Calibri" w:eastAsia="Times New Roman" w:hAnsi="Calibri" w:cs="Calibri"/>
                <w:b/>
                <w:bCs/>
                <w:sz w:val="16"/>
                <w:szCs w:val="16"/>
              </w:rPr>
              <w:t> </w:t>
            </w:r>
          </w:p>
        </w:tc>
        <w:tc>
          <w:tcPr>
            <w:tcW w:w="1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jc w:val="right"/>
              <w:rPr>
                <w:rFonts w:ascii="Calibri" w:eastAsia="Times New Roman" w:hAnsi="Calibri" w:cs="Calibri"/>
                <w:b/>
                <w:bCs/>
                <w:sz w:val="16"/>
                <w:szCs w:val="16"/>
              </w:rPr>
            </w:pPr>
            <w:r w:rsidRPr="008E18D6">
              <w:rPr>
                <w:rFonts w:ascii="Calibri" w:eastAsia="Times New Roman" w:hAnsi="Calibri" w:cs="Calibri"/>
                <w:b/>
                <w:bCs/>
                <w:sz w:val="16"/>
                <w:szCs w:val="16"/>
              </w:rPr>
              <w:t>4</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AB2" w:rsidRPr="008E18D6" w:rsidRDefault="00512AB2" w:rsidP="00601306">
            <w:pPr>
              <w:spacing w:after="0" w:line="240" w:lineRule="auto"/>
              <w:jc w:val="right"/>
              <w:rPr>
                <w:rFonts w:ascii="Calibri" w:eastAsia="Times New Roman" w:hAnsi="Calibri" w:cs="Calibri"/>
                <w:b/>
                <w:bCs/>
                <w:sz w:val="16"/>
                <w:szCs w:val="16"/>
              </w:rPr>
            </w:pPr>
            <w:r w:rsidRPr="008E18D6">
              <w:rPr>
                <w:rFonts w:ascii="Calibri" w:eastAsia="Times New Roman" w:hAnsi="Calibri" w:cs="Calibri"/>
                <w:b/>
                <w:bCs/>
                <w:sz w:val="16"/>
                <w:szCs w:val="16"/>
              </w:rPr>
              <w:t>4</w:t>
            </w:r>
          </w:p>
        </w:tc>
      </w:tr>
      <w:tr w:rsidR="00512AB2" w:rsidRPr="008E18D6" w:rsidTr="00601306">
        <w:trPr>
          <w:trHeight w:val="300"/>
        </w:trPr>
        <w:tc>
          <w:tcPr>
            <w:tcW w:w="5260" w:type="dxa"/>
            <w:tcBorders>
              <w:top w:val="single" w:sz="4" w:space="0" w:color="auto"/>
              <w:left w:val="single" w:sz="4" w:space="0" w:color="auto"/>
              <w:bottom w:val="single" w:sz="4" w:space="0" w:color="auto"/>
              <w:right w:val="single" w:sz="4" w:space="0" w:color="auto"/>
            </w:tcBorders>
            <w:shd w:val="clear" w:color="000000" w:fill="95B3D7"/>
            <w:noWrap/>
            <w:vAlign w:val="bottom"/>
            <w:hideMark/>
          </w:tcPr>
          <w:p w:rsidR="00512AB2" w:rsidRPr="008E18D6" w:rsidRDefault="00512AB2" w:rsidP="00601306">
            <w:pPr>
              <w:spacing w:after="0" w:line="240" w:lineRule="auto"/>
              <w:rPr>
                <w:rFonts w:ascii="Calibri" w:eastAsia="Times New Roman" w:hAnsi="Calibri" w:cs="Calibri"/>
                <w:b/>
                <w:bCs/>
                <w:sz w:val="18"/>
                <w:szCs w:val="18"/>
              </w:rPr>
            </w:pPr>
            <w:r w:rsidRPr="008E18D6">
              <w:rPr>
                <w:rFonts w:ascii="Calibri" w:eastAsia="Times New Roman" w:hAnsi="Calibri" w:cs="Calibri"/>
                <w:b/>
                <w:bCs/>
                <w:sz w:val="18"/>
                <w:szCs w:val="18"/>
              </w:rPr>
              <w:t>Totale Personale</w:t>
            </w:r>
          </w:p>
        </w:tc>
        <w:tc>
          <w:tcPr>
            <w:tcW w:w="851" w:type="dxa"/>
            <w:tcBorders>
              <w:top w:val="single" w:sz="4" w:space="0" w:color="auto"/>
              <w:left w:val="single" w:sz="4" w:space="0" w:color="auto"/>
              <w:bottom w:val="single" w:sz="4" w:space="0" w:color="auto"/>
              <w:right w:val="single" w:sz="4" w:space="0" w:color="auto"/>
            </w:tcBorders>
            <w:shd w:val="clear" w:color="000000" w:fill="95B3D7"/>
            <w:noWrap/>
            <w:vAlign w:val="bottom"/>
            <w:hideMark/>
          </w:tcPr>
          <w:p w:rsidR="00512AB2" w:rsidRPr="008E18D6" w:rsidRDefault="00512AB2" w:rsidP="00601306">
            <w:pPr>
              <w:spacing w:after="0" w:line="240" w:lineRule="auto"/>
              <w:jc w:val="right"/>
              <w:rPr>
                <w:rFonts w:ascii="Calibri" w:eastAsia="Times New Roman" w:hAnsi="Calibri" w:cs="Calibri"/>
                <w:b/>
                <w:bCs/>
                <w:sz w:val="18"/>
                <w:szCs w:val="18"/>
              </w:rPr>
            </w:pPr>
            <w:r w:rsidRPr="008E18D6">
              <w:rPr>
                <w:rFonts w:ascii="Calibri" w:eastAsia="Times New Roman" w:hAnsi="Calibri" w:cs="Calibri"/>
                <w:b/>
                <w:bCs/>
                <w:sz w:val="18"/>
                <w:szCs w:val="18"/>
              </w:rPr>
              <w:t>1030</w:t>
            </w:r>
          </w:p>
        </w:tc>
        <w:tc>
          <w:tcPr>
            <w:tcW w:w="588" w:type="dxa"/>
            <w:tcBorders>
              <w:top w:val="single" w:sz="4" w:space="0" w:color="auto"/>
              <w:left w:val="single" w:sz="4" w:space="0" w:color="auto"/>
              <w:bottom w:val="single" w:sz="4" w:space="0" w:color="auto"/>
              <w:right w:val="single" w:sz="4" w:space="0" w:color="auto"/>
            </w:tcBorders>
            <w:shd w:val="clear" w:color="000000" w:fill="95B3D7"/>
            <w:noWrap/>
            <w:vAlign w:val="bottom"/>
            <w:hideMark/>
          </w:tcPr>
          <w:p w:rsidR="00512AB2" w:rsidRPr="008E18D6" w:rsidRDefault="00512AB2" w:rsidP="00601306">
            <w:pPr>
              <w:spacing w:after="0" w:line="240" w:lineRule="auto"/>
              <w:jc w:val="right"/>
              <w:rPr>
                <w:rFonts w:ascii="Calibri" w:eastAsia="Times New Roman" w:hAnsi="Calibri" w:cs="Calibri"/>
                <w:b/>
                <w:bCs/>
                <w:sz w:val="18"/>
                <w:szCs w:val="18"/>
              </w:rPr>
            </w:pPr>
            <w:r w:rsidRPr="008E18D6">
              <w:rPr>
                <w:rFonts w:ascii="Calibri" w:eastAsia="Times New Roman" w:hAnsi="Calibri" w:cs="Calibri"/>
                <w:b/>
                <w:bCs/>
                <w:sz w:val="18"/>
                <w:szCs w:val="18"/>
              </w:rPr>
              <w:t>85</w:t>
            </w:r>
          </w:p>
        </w:tc>
        <w:tc>
          <w:tcPr>
            <w:tcW w:w="1201" w:type="dxa"/>
            <w:tcBorders>
              <w:top w:val="single" w:sz="4" w:space="0" w:color="auto"/>
              <w:left w:val="single" w:sz="4" w:space="0" w:color="auto"/>
              <w:bottom w:val="single" w:sz="4" w:space="0" w:color="auto"/>
              <w:right w:val="single" w:sz="4" w:space="0" w:color="auto"/>
            </w:tcBorders>
            <w:shd w:val="clear" w:color="000000" w:fill="95B3D7"/>
            <w:noWrap/>
            <w:vAlign w:val="bottom"/>
            <w:hideMark/>
          </w:tcPr>
          <w:p w:rsidR="00512AB2" w:rsidRPr="008E18D6" w:rsidRDefault="00512AB2" w:rsidP="00601306">
            <w:pPr>
              <w:spacing w:after="0" w:line="240" w:lineRule="auto"/>
              <w:jc w:val="right"/>
              <w:rPr>
                <w:rFonts w:ascii="Calibri" w:eastAsia="Times New Roman" w:hAnsi="Calibri" w:cs="Calibri"/>
                <w:b/>
                <w:bCs/>
                <w:sz w:val="18"/>
                <w:szCs w:val="18"/>
              </w:rPr>
            </w:pPr>
            <w:r w:rsidRPr="008E18D6">
              <w:rPr>
                <w:rFonts w:ascii="Calibri" w:eastAsia="Times New Roman" w:hAnsi="Calibri" w:cs="Calibri"/>
                <w:b/>
                <w:bCs/>
                <w:sz w:val="18"/>
                <w:szCs w:val="18"/>
              </w:rPr>
              <w:t>874</w:t>
            </w:r>
          </w:p>
        </w:tc>
        <w:tc>
          <w:tcPr>
            <w:tcW w:w="1180" w:type="dxa"/>
            <w:tcBorders>
              <w:top w:val="single" w:sz="4" w:space="0" w:color="auto"/>
              <w:left w:val="single" w:sz="4" w:space="0" w:color="auto"/>
              <w:bottom w:val="single" w:sz="4" w:space="0" w:color="auto"/>
              <w:right w:val="single" w:sz="4" w:space="0" w:color="auto"/>
            </w:tcBorders>
            <w:shd w:val="clear" w:color="000000" w:fill="95B3D7"/>
            <w:noWrap/>
            <w:vAlign w:val="bottom"/>
            <w:hideMark/>
          </w:tcPr>
          <w:p w:rsidR="00512AB2" w:rsidRPr="008E18D6" w:rsidRDefault="00512AB2" w:rsidP="00601306">
            <w:pPr>
              <w:spacing w:after="0" w:line="240" w:lineRule="auto"/>
              <w:jc w:val="right"/>
              <w:rPr>
                <w:rFonts w:ascii="Calibri" w:eastAsia="Times New Roman" w:hAnsi="Calibri" w:cs="Calibri"/>
                <w:b/>
                <w:bCs/>
                <w:sz w:val="18"/>
                <w:szCs w:val="18"/>
              </w:rPr>
            </w:pPr>
            <w:r w:rsidRPr="008E18D6">
              <w:rPr>
                <w:rFonts w:ascii="Calibri" w:eastAsia="Times New Roman" w:hAnsi="Calibri" w:cs="Calibri"/>
                <w:b/>
                <w:bCs/>
                <w:sz w:val="18"/>
                <w:szCs w:val="18"/>
              </w:rPr>
              <w:t>1989</w:t>
            </w:r>
          </w:p>
        </w:tc>
      </w:tr>
    </w:tbl>
    <w:p w:rsidR="00C42FAE" w:rsidRPr="009B6196" w:rsidRDefault="00512AB2" w:rsidP="00F12774">
      <w:pPr>
        <w:spacing w:after="0" w:line="240" w:lineRule="auto"/>
        <w:jc w:val="both"/>
        <w:rPr>
          <w:b/>
          <w:szCs w:val="20"/>
          <w:highlight w:val="yellow"/>
        </w:rPr>
      </w:pPr>
      <w:r>
        <w:fldChar w:fldCharType="end"/>
      </w:r>
    </w:p>
    <w:p w:rsidR="00F12774" w:rsidRDefault="00F12774" w:rsidP="009876EA">
      <w:pPr>
        <w:spacing w:after="0" w:line="240" w:lineRule="auto"/>
        <w:ind w:left="0" w:firstLine="0"/>
        <w:jc w:val="both"/>
        <w:rPr>
          <w:b/>
          <w:szCs w:val="20"/>
          <w:highlight w:val="yellow"/>
        </w:rPr>
      </w:pPr>
    </w:p>
    <w:p w:rsidR="00601306" w:rsidRDefault="009271FA" w:rsidP="00601306">
      <w:pPr>
        <w:spacing w:after="0" w:line="240" w:lineRule="auto"/>
        <w:ind w:left="0" w:firstLine="0"/>
        <w:jc w:val="both"/>
        <w:rPr>
          <w:b/>
          <w:szCs w:val="20"/>
        </w:rPr>
      </w:pPr>
      <w:r w:rsidRPr="00601306">
        <w:rPr>
          <w:b/>
          <w:szCs w:val="20"/>
        </w:rPr>
        <w:t>F</w:t>
      </w:r>
      <w:r w:rsidR="00C42FAE" w:rsidRPr="00601306">
        <w:rPr>
          <w:b/>
          <w:szCs w:val="20"/>
        </w:rPr>
        <w:t>) Retribuzione personale dipendente:</w:t>
      </w:r>
    </w:p>
    <w:p w:rsidR="00601306" w:rsidRPr="00601306" w:rsidRDefault="00601306" w:rsidP="00601306">
      <w:pPr>
        <w:spacing w:after="0" w:line="240" w:lineRule="auto"/>
        <w:ind w:left="0" w:firstLine="0"/>
        <w:jc w:val="both"/>
        <w:rPr>
          <w:b/>
          <w:szCs w:val="20"/>
          <w:highlight w:val="yellow"/>
        </w:rPr>
      </w:pPr>
      <w:r>
        <w:rPr>
          <w:rFonts w:cstheme="minorBidi"/>
        </w:rPr>
        <w:fldChar w:fldCharType="begin"/>
      </w:r>
      <w:r>
        <w:instrText xml:space="preserve"> LINK Excel.Sheet.12 "C:\\Users\\CANAVESEA\\Documents\\conto consuntivo 2020\\spesa personale_ind_verifica 2020_ac.xlsx" "costo del pers_ind!R79C2:R87C5" \a \f 4 \h </w:instrText>
      </w:r>
      <w:r>
        <w:rPr>
          <w:rFonts w:cstheme="minorBidi"/>
        </w:rPr>
        <w:fldChar w:fldCharType="separate"/>
      </w:r>
    </w:p>
    <w:tbl>
      <w:tblPr>
        <w:tblW w:w="8480" w:type="dxa"/>
        <w:tblCellMar>
          <w:left w:w="70" w:type="dxa"/>
          <w:right w:w="70" w:type="dxa"/>
        </w:tblCellMar>
        <w:tblLook w:val="04A0" w:firstRow="1" w:lastRow="0" w:firstColumn="1" w:lastColumn="0" w:noHBand="0" w:noVBand="1"/>
      </w:tblPr>
      <w:tblGrid>
        <w:gridCol w:w="4180"/>
        <w:gridCol w:w="1540"/>
        <w:gridCol w:w="1540"/>
        <w:gridCol w:w="1220"/>
      </w:tblGrid>
      <w:tr w:rsidR="00601306" w:rsidRPr="007A18DD" w:rsidTr="00601306">
        <w:trPr>
          <w:trHeight w:val="439"/>
        </w:trPr>
        <w:tc>
          <w:tcPr>
            <w:tcW w:w="4180" w:type="dxa"/>
            <w:tcBorders>
              <w:top w:val="single" w:sz="4" w:space="0" w:color="auto"/>
              <w:left w:val="single" w:sz="4" w:space="0" w:color="auto"/>
              <w:bottom w:val="single" w:sz="4" w:space="0" w:color="auto"/>
              <w:right w:val="single" w:sz="4" w:space="0" w:color="auto"/>
            </w:tcBorders>
            <w:shd w:val="clear" w:color="000000" w:fill="BDD7EE"/>
            <w:vAlign w:val="center"/>
            <w:hideMark/>
          </w:tcPr>
          <w:p w:rsidR="00601306" w:rsidRPr="007A18DD" w:rsidRDefault="00601306" w:rsidP="00601306">
            <w:pPr>
              <w:rPr>
                <w:rFonts w:ascii="Calibri" w:eastAsia="Times New Roman" w:hAnsi="Calibri" w:cs="Calibri"/>
                <w:b/>
                <w:bCs/>
                <w:sz w:val="16"/>
                <w:szCs w:val="16"/>
              </w:rPr>
            </w:pPr>
            <w:r w:rsidRPr="007A18DD">
              <w:rPr>
                <w:rFonts w:ascii="Calibri" w:eastAsia="Times New Roman" w:hAnsi="Calibri" w:cs="Calibri"/>
                <w:b/>
                <w:bCs/>
                <w:sz w:val="16"/>
                <w:szCs w:val="16"/>
              </w:rPr>
              <w:t>COSTO DEL PERSONALE</w:t>
            </w:r>
          </w:p>
        </w:tc>
        <w:tc>
          <w:tcPr>
            <w:tcW w:w="1540" w:type="dxa"/>
            <w:tcBorders>
              <w:top w:val="single" w:sz="4" w:space="0" w:color="auto"/>
              <w:left w:val="nil"/>
              <w:bottom w:val="single" w:sz="4" w:space="0" w:color="auto"/>
              <w:right w:val="single" w:sz="4" w:space="0" w:color="auto"/>
            </w:tcBorders>
            <w:shd w:val="clear" w:color="000000" w:fill="BDD7EE"/>
            <w:vAlign w:val="center"/>
            <w:hideMark/>
          </w:tcPr>
          <w:p w:rsidR="00601306" w:rsidRPr="007A18DD" w:rsidRDefault="00601306" w:rsidP="00601306">
            <w:pPr>
              <w:spacing w:after="0" w:line="240" w:lineRule="auto"/>
              <w:jc w:val="center"/>
              <w:rPr>
                <w:rFonts w:ascii="Calibri" w:eastAsia="Times New Roman" w:hAnsi="Calibri" w:cs="Calibri"/>
                <w:b/>
                <w:bCs/>
                <w:sz w:val="16"/>
                <w:szCs w:val="16"/>
              </w:rPr>
            </w:pPr>
            <w:r w:rsidRPr="007A18DD">
              <w:rPr>
                <w:rFonts w:ascii="Calibri" w:eastAsia="Times New Roman" w:hAnsi="Calibri" w:cs="Calibri"/>
                <w:b/>
                <w:bCs/>
                <w:sz w:val="16"/>
                <w:szCs w:val="16"/>
              </w:rPr>
              <w:t>2020</w:t>
            </w:r>
          </w:p>
        </w:tc>
        <w:tc>
          <w:tcPr>
            <w:tcW w:w="1540" w:type="dxa"/>
            <w:tcBorders>
              <w:top w:val="single" w:sz="4" w:space="0" w:color="auto"/>
              <w:left w:val="nil"/>
              <w:bottom w:val="single" w:sz="4" w:space="0" w:color="auto"/>
              <w:right w:val="single" w:sz="4" w:space="0" w:color="auto"/>
            </w:tcBorders>
            <w:shd w:val="clear" w:color="000000" w:fill="BDD7EE"/>
            <w:vAlign w:val="center"/>
            <w:hideMark/>
          </w:tcPr>
          <w:p w:rsidR="00601306" w:rsidRPr="007A18DD" w:rsidRDefault="00601306" w:rsidP="00601306">
            <w:pPr>
              <w:spacing w:after="0" w:line="240" w:lineRule="auto"/>
              <w:jc w:val="center"/>
              <w:rPr>
                <w:rFonts w:ascii="Calibri" w:eastAsia="Times New Roman" w:hAnsi="Calibri" w:cs="Calibri"/>
                <w:b/>
                <w:bCs/>
                <w:sz w:val="16"/>
                <w:szCs w:val="16"/>
              </w:rPr>
            </w:pPr>
            <w:r w:rsidRPr="007A18DD">
              <w:rPr>
                <w:rFonts w:ascii="Calibri" w:eastAsia="Times New Roman" w:hAnsi="Calibri" w:cs="Calibri"/>
                <w:b/>
                <w:bCs/>
                <w:sz w:val="16"/>
                <w:szCs w:val="16"/>
              </w:rPr>
              <w:t>2019</w:t>
            </w:r>
          </w:p>
        </w:tc>
        <w:tc>
          <w:tcPr>
            <w:tcW w:w="1220" w:type="dxa"/>
            <w:tcBorders>
              <w:top w:val="single" w:sz="4" w:space="0" w:color="auto"/>
              <w:left w:val="nil"/>
              <w:bottom w:val="single" w:sz="4" w:space="0" w:color="auto"/>
              <w:right w:val="single" w:sz="4" w:space="0" w:color="auto"/>
            </w:tcBorders>
            <w:shd w:val="clear" w:color="000000" w:fill="BDD7EE"/>
            <w:noWrap/>
            <w:vAlign w:val="center"/>
            <w:hideMark/>
          </w:tcPr>
          <w:p w:rsidR="00601306" w:rsidRPr="007A18DD" w:rsidRDefault="00601306" w:rsidP="00601306">
            <w:pPr>
              <w:spacing w:after="0" w:line="240" w:lineRule="auto"/>
              <w:jc w:val="center"/>
              <w:rPr>
                <w:rFonts w:ascii="Calibri" w:eastAsia="Times New Roman" w:hAnsi="Calibri" w:cs="Calibri"/>
                <w:b/>
                <w:bCs/>
                <w:sz w:val="16"/>
                <w:szCs w:val="16"/>
              </w:rPr>
            </w:pPr>
            <w:r w:rsidRPr="007A18DD">
              <w:rPr>
                <w:rFonts w:ascii="Calibri" w:eastAsia="Times New Roman" w:hAnsi="Calibri" w:cs="Calibri"/>
                <w:b/>
                <w:bCs/>
                <w:sz w:val="16"/>
                <w:szCs w:val="16"/>
              </w:rPr>
              <w:t>∆ 2020/2019</w:t>
            </w:r>
          </w:p>
        </w:tc>
      </w:tr>
      <w:tr w:rsidR="00601306" w:rsidRPr="007A18DD" w:rsidTr="00601306">
        <w:trPr>
          <w:trHeight w:val="439"/>
        </w:trPr>
        <w:tc>
          <w:tcPr>
            <w:tcW w:w="4180" w:type="dxa"/>
            <w:tcBorders>
              <w:top w:val="nil"/>
              <w:left w:val="single" w:sz="4" w:space="0" w:color="auto"/>
              <w:bottom w:val="single" w:sz="4" w:space="0" w:color="auto"/>
              <w:right w:val="single" w:sz="4" w:space="0" w:color="auto"/>
            </w:tcBorders>
            <w:shd w:val="clear" w:color="000000" w:fill="FFFFFF"/>
            <w:vAlign w:val="center"/>
            <w:hideMark/>
          </w:tcPr>
          <w:p w:rsidR="00601306" w:rsidRPr="007A18DD" w:rsidRDefault="00601306" w:rsidP="00601306">
            <w:pPr>
              <w:spacing w:after="0" w:line="240" w:lineRule="auto"/>
              <w:rPr>
                <w:rFonts w:ascii="Calibri" w:eastAsia="Times New Roman" w:hAnsi="Calibri" w:cs="Calibri"/>
                <w:sz w:val="16"/>
                <w:szCs w:val="16"/>
              </w:rPr>
            </w:pPr>
            <w:r w:rsidRPr="007A18DD">
              <w:rPr>
                <w:rFonts w:ascii="Calibri" w:eastAsia="Times New Roman" w:hAnsi="Calibri" w:cs="Calibri"/>
                <w:sz w:val="16"/>
                <w:szCs w:val="16"/>
              </w:rPr>
              <w:t>Costo personale docente e ricercatore a tempo indeterminato</w:t>
            </w:r>
          </w:p>
        </w:tc>
        <w:tc>
          <w:tcPr>
            <w:tcW w:w="1540" w:type="dxa"/>
            <w:tcBorders>
              <w:top w:val="nil"/>
              <w:left w:val="nil"/>
              <w:bottom w:val="single" w:sz="4" w:space="0" w:color="auto"/>
              <w:right w:val="single" w:sz="4" w:space="0" w:color="auto"/>
            </w:tcBorders>
            <w:shd w:val="clear" w:color="000000" w:fill="FFFFFF"/>
            <w:noWrap/>
            <w:vAlign w:val="center"/>
            <w:hideMark/>
          </w:tcPr>
          <w:p w:rsidR="00601306" w:rsidRPr="007A18DD" w:rsidRDefault="00601306" w:rsidP="00601306">
            <w:pPr>
              <w:spacing w:after="0" w:line="240" w:lineRule="auto"/>
              <w:jc w:val="center"/>
              <w:rPr>
                <w:rFonts w:ascii="Calibri" w:eastAsia="Times New Roman" w:hAnsi="Calibri" w:cs="Calibri"/>
                <w:sz w:val="16"/>
                <w:szCs w:val="16"/>
              </w:rPr>
            </w:pPr>
            <w:r w:rsidRPr="007A18DD">
              <w:rPr>
                <w:rFonts w:ascii="Calibri" w:eastAsia="Times New Roman" w:hAnsi="Calibri" w:cs="Calibri"/>
                <w:sz w:val="16"/>
                <w:szCs w:val="16"/>
              </w:rPr>
              <w:t>154.925.461,99</w:t>
            </w:r>
          </w:p>
        </w:tc>
        <w:tc>
          <w:tcPr>
            <w:tcW w:w="1540" w:type="dxa"/>
            <w:tcBorders>
              <w:top w:val="nil"/>
              <w:left w:val="nil"/>
              <w:bottom w:val="single" w:sz="4" w:space="0" w:color="auto"/>
              <w:right w:val="single" w:sz="4" w:space="0" w:color="auto"/>
            </w:tcBorders>
            <w:shd w:val="clear" w:color="000000" w:fill="FFFFFF"/>
            <w:noWrap/>
            <w:vAlign w:val="center"/>
            <w:hideMark/>
          </w:tcPr>
          <w:p w:rsidR="00601306" w:rsidRPr="007A18DD" w:rsidRDefault="00601306" w:rsidP="00601306">
            <w:pPr>
              <w:spacing w:after="0" w:line="240" w:lineRule="auto"/>
              <w:jc w:val="center"/>
              <w:rPr>
                <w:rFonts w:ascii="Calibri" w:eastAsia="Times New Roman" w:hAnsi="Calibri" w:cs="Calibri"/>
                <w:sz w:val="16"/>
                <w:szCs w:val="16"/>
              </w:rPr>
            </w:pPr>
            <w:r w:rsidRPr="007A18DD">
              <w:rPr>
                <w:rFonts w:ascii="Calibri" w:eastAsia="Times New Roman" w:hAnsi="Calibri" w:cs="Calibri"/>
                <w:sz w:val="16"/>
                <w:szCs w:val="16"/>
              </w:rPr>
              <w:t>154.104.173,36</w:t>
            </w:r>
          </w:p>
        </w:tc>
        <w:tc>
          <w:tcPr>
            <w:tcW w:w="1220" w:type="dxa"/>
            <w:tcBorders>
              <w:top w:val="nil"/>
              <w:left w:val="nil"/>
              <w:bottom w:val="single" w:sz="4" w:space="0" w:color="auto"/>
              <w:right w:val="single" w:sz="4" w:space="0" w:color="auto"/>
            </w:tcBorders>
            <w:shd w:val="clear" w:color="000000" w:fill="FFFFFF"/>
            <w:noWrap/>
            <w:vAlign w:val="center"/>
            <w:hideMark/>
          </w:tcPr>
          <w:p w:rsidR="00601306" w:rsidRPr="007A18DD" w:rsidRDefault="00601306" w:rsidP="00601306">
            <w:pPr>
              <w:spacing w:after="0" w:line="240" w:lineRule="auto"/>
              <w:jc w:val="center"/>
              <w:rPr>
                <w:rFonts w:ascii="Calibri" w:eastAsia="Times New Roman" w:hAnsi="Calibri" w:cs="Calibri"/>
                <w:sz w:val="16"/>
                <w:szCs w:val="16"/>
              </w:rPr>
            </w:pPr>
            <w:r w:rsidRPr="007A18DD">
              <w:rPr>
                <w:rFonts w:ascii="Calibri" w:eastAsia="Times New Roman" w:hAnsi="Calibri" w:cs="Calibri"/>
                <w:sz w:val="16"/>
                <w:szCs w:val="16"/>
              </w:rPr>
              <w:t>0,53%</w:t>
            </w:r>
          </w:p>
        </w:tc>
      </w:tr>
      <w:tr w:rsidR="00601306" w:rsidRPr="007A18DD" w:rsidTr="00601306">
        <w:trPr>
          <w:trHeight w:val="439"/>
        </w:trPr>
        <w:tc>
          <w:tcPr>
            <w:tcW w:w="4180" w:type="dxa"/>
            <w:tcBorders>
              <w:top w:val="nil"/>
              <w:left w:val="single" w:sz="4" w:space="0" w:color="auto"/>
              <w:bottom w:val="single" w:sz="4" w:space="0" w:color="auto"/>
              <w:right w:val="single" w:sz="4" w:space="0" w:color="auto"/>
            </w:tcBorders>
            <w:shd w:val="clear" w:color="000000" w:fill="FFFFFF"/>
            <w:vAlign w:val="center"/>
            <w:hideMark/>
          </w:tcPr>
          <w:p w:rsidR="00601306" w:rsidRPr="007A18DD" w:rsidRDefault="00601306" w:rsidP="00601306">
            <w:pPr>
              <w:spacing w:after="0" w:line="240" w:lineRule="auto"/>
              <w:rPr>
                <w:rFonts w:ascii="Calibri" w:eastAsia="Times New Roman" w:hAnsi="Calibri" w:cs="Calibri"/>
                <w:sz w:val="16"/>
                <w:szCs w:val="16"/>
              </w:rPr>
            </w:pPr>
            <w:r w:rsidRPr="007A18DD">
              <w:rPr>
                <w:rFonts w:ascii="Calibri" w:eastAsia="Times New Roman" w:hAnsi="Calibri" w:cs="Calibri"/>
                <w:sz w:val="16"/>
                <w:szCs w:val="16"/>
              </w:rPr>
              <w:t>Costo personale collaboratore ed esperto linguistico TI</w:t>
            </w:r>
          </w:p>
        </w:tc>
        <w:tc>
          <w:tcPr>
            <w:tcW w:w="1540" w:type="dxa"/>
            <w:tcBorders>
              <w:top w:val="nil"/>
              <w:left w:val="nil"/>
              <w:bottom w:val="single" w:sz="4" w:space="0" w:color="auto"/>
              <w:right w:val="single" w:sz="4" w:space="0" w:color="auto"/>
            </w:tcBorders>
            <w:shd w:val="clear" w:color="000000" w:fill="FFFFFF"/>
            <w:noWrap/>
            <w:vAlign w:val="center"/>
            <w:hideMark/>
          </w:tcPr>
          <w:p w:rsidR="00601306" w:rsidRPr="007A18DD" w:rsidRDefault="00601306" w:rsidP="00601306">
            <w:pPr>
              <w:spacing w:after="0" w:line="240" w:lineRule="auto"/>
              <w:jc w:val="center"/>
              <w:rPr>
                <w:rFonts w:ascii="Calibri" w:eastAsia="Times New Roman" w:hAnsi="Calibri" w:cs="Calibri"/>
                <w:sz w:val="16"/>
                <w:szCs w:val="16"/>
              </w:rPr>
            </w:pPr>
            <w:r w:rsidRPr="007A18DD">
              <w:rPr>
                <w:rFonts w:ascii="Calibri" w:eastAsia="Times New Roman" w:hAnsi="Calibri" w:cs="Calibri"/>
                <w:sz w:val="16"/>
                <w:szCs w:val="16"/>
              </w:rPr>
              <w:t>1.137.542,80</w:t>
            </w:r>
          </w:p>
        </w:tc>
        <w:tc>
          <w:tcPr>
            <w:tcW w:w="1540" w:type="dxa"/>
            <w:tcBorders>
              <w:top w:val="nil"/>
              <w:left w:val="nil"/>
              <w:bottom w:val="single" w:sz="4" w:space="0" w:color="auto"/>
              <w:right w:val="single" w:sz="4" w:space="0" w:color="auto"/>
            </w:tcBorders>
            <w:shd w:val="clear" w:color="000000" w:fill="FFFFFF"/>
            <w:noWrap/>
            <w:vAlign w:val="center"/>
            <w:hideMark/>
          </w:tcPr>
          <w:p w:rsidR="00601306" w:rsidRPr="007A18DD" w:rsidRDefault="00601306" w:rsidP="00601306">
            <w:pPr>
              <w:spacing w:after="0" w:line="240" w:lineRule="auto"/>
              <w:jc w:val="center"/>
              <w:rPr>
                <w:rFonts w:ascii="Calibri" w:eastAsia="Times New Roman" w:hAnsi="Calibri" w:cs="Calibri"/>
                <w:sz w:val="16"/>
                <w:szCs w:val="16"/>
              </w:rPr>
            </w:pPr>
            <w:r w:rsidRPr="007A18DD">
              <w:rPr>
                <w:rFonts w:ascii="Calibri" w:eastAsia="Times New Roman" w:hAnsi="Calibri" w:cs="Calibri"/>
                <w:sz w:val="16"/>
                <w:szCs w:val="16"/>
              </w:rPr>
              <w:t>1.143.306,06</w:t>
            </w:r>
          </w:p>
        </w:tc>
        <w:tc>
          <w:tcPr>
            <w:tcW w:w="1220" w:type="dxa"/>
            <w:tcBorders>
              <w:top w:val="nil"/>
              <w:left w:val="nil"/>
              <w:bottom w:val="single" w:sz="4" w:space="0" w:color="auto"/>
              <w:right w:val="single" w:sz="4" w:space="0" w:color="auto"/>
            </w:tcBorders>
            <w:shd w:val="clear" w:color="000000" w:fill="FFFFFF"/>
            <w:noWrap/>
            <w:vAlign w:val="center"/>
            <w:hideMark/>
          </w:tcPr>
          <w:p w:rsidR="00601306" w:rsidRPr="007A18DD" w:rsidRDefault="00601306" w:rsidP="00601306">
            <w:pPr>
              <w:spacing w:after="0" w:line="240" w:lineRule="auto"/>
              <w:jc w:val="center"/>
              <w:rPr>
                <w:rFonts w:ascii="Calibri" w:eastAsia="Times New Roman" w:hAnsi="Calibri" w:cs="Calibri"/>
                <w:sz w:val="16"/>
                <w:szCs w:val="16"/>
              </w:rPr>
            </w:pPr>
            <w:r w:rsidRPr="007A18DD">
              <w:rPr>
                <w:rFonts w:ascii="Calibri" w:eastAsia="Times New Roman" w:hAnsi="Calibri" w:cs="Calibri"/>
                <w:sz w:val="16"/>
                <w:szCs w:val="16"/>
              </w:rPr>
              <w:t>-0,50%</w:t>
            </w:r>
          </w:p>
        </w:tc>
      </w:tr>
      <w:tr w:rsidR="00601306" w:rsidRPr="007A18DD" w:rsidTr="00601306">
        <w:trPr>
          <w:trHeight w:val="439"/>
        </w:trPr>
        <w:tc>
          <w:tcPr>
            <w:tcW w:w="4180" w:type="dxa"/>
            <w:tcBorders>
              <w:top w:val="nil"/>
              <w:left w:val="single" w:sz="4" w:space="0" w:color="auto"/>
              <w:bottom w:val="single" w:sz="4" w:space="0" w:color="auto"/>
              <w:right w:val="single" w:sz="4" w:space="0" w:color="auto"/>
            </w:tcBorders>
            <w:shd w:val="clear" w:color="000000" w:fill="FFFFFF"/>
            <w:vAlign w:val="center"/>
            <w:hideMark/>
          </w:tcPr>
          <w:p w:rsidR="00601306" w:rsidRPr="007A18DD" w:rsidRDefault="00601306" w:rsidP="00601306">
            <w:pPr>
              <w:spacing w:after="0" w:line="240" w:lineRule="auto"/>
              <w:rPr>
                <w:rFonts w:ascii="Calibri" w:eastAsia="Times New Roman" w:hAnsi="Calibri" w:cs="Calibri"/>
                <w:sz w:val="16"/>
                <w:szCs w:val="16"/>
              </w:rPr>
            </w:pPr>
            <w:r w:rsidRPr="007A18DD">
              <w:rPr>
                <w:rFonts w:ascii="Calibri" w:eastAsia="Times New Roman" w:hAnsi="Calibri" w:cs="Calibri"/>
                <w:sz w:val="16"/>
                <w:szCs w:val="16"/>
              </w:rPr>
              <w:t xml:space="preserve">Costo del personale TAB e dirigente </w:t>
            </w:r>
          </w:p>
        </w:tc>
        <w:tc>
          <w:tcPr>
            <w:tcW w:w="1540" w:type="dxa"/>
            <w:tcBorders>
              <w:top w:val="nil"/>
              <w:left w:val="nil"/>
              <w:bottom w:val="single" w:sz="4" w:space="0" w:color="auto"/>
              <w:right w:val="single" w:sz="4" w:space="0" w:color="auto"/>
            </w:tcBorders>
            <w:shd w:val="clear" w:color="000000" w:fill="FFFFFF"/>
            <w:noWrap/>
            <w:vAlign w:val="center"/>
            <w:hideMark/>
          </w:tcPr>
          <w:p w:rsidR="00601306" w:rsidRPr="007A18DD" w:rsidRDefault="00601306" w:rsidP="00601306">
            <w:pPr>
              <w:spacing w:after="0" w:line="240" w:lineRule="auto"/>
              <w:jc w:val="center"/>
              <w:rPr>
                <w:rFonts w:ascii="Calibri" w:eastAsia="Times New Roman" w:hAnsi="Calibri" w:cs="Calibri"/>
                <w:sz w:val="16"/>
                <w:szCs w:val="16"/>
              </w:rPr>
            </w:pPr>
            <w:r w:rsidRPr="007A18DD">
              <w:rPr>
                <w:rFonts w:ascii="Calibri" w:eastAsia="Times New Roman" w:hAnsi="Calibri" w:cs="Calibri"/>
                <w:sz w:val="16"/>
                <w:szCs w:val="16"/>
              </w:rPr>
              <w:t>75.248.428,69</w:t>
            </w:r>
          </w:p>
        </w:tc>
        <w:tc>
          <w:tcPr>
            <w:tcW w:w="1540" w:type="dxa"/>
            <w:tcBorders>
              <w:top w:val="nil"/>
              <w:left w:val="nil"/>
              <w:bottom w:val="single" w:sz="4" w:space="0" w:color="auto"/>
              <w:right w:val="single" w:sz="4" w:space="0" w:color="auto"/>
            </w:tcBorders>
            <w:shd w:val="clear" w:color="000000" w:fill="FFFFFF"/>
            <w:noWrap/>
            <w:vAlign w:val="center"/>
            <w:hideMark/>
          </w:tcPr>
          <w:p w:rsidR="00601306" w:rsidRPr="007A18DD" w:rsidRDefault="00601306" w:rsidP="00601306">
            <w:pPr>
              <w:spacing w:after="0" w:line="240" w:lineRule="auto"/>
              <w:jc w:val="center"/>
              <w:rPr>
                <w:rFonts w:ascii="Calibri" w:eastAsia="Times New Roman" w:hAnsi="Calibri" w:cs="Calibri"/>
                <w:sz w:val="16"/>
                <w:szCs w:val="16"/>
              </w:rPr>
            </w:pPr>
            <w:r w:rsidRPr="007A18DD">
              <w:rPr>
                <w:rFonts w:ascii="Calibri" w:eastAsia="Times New Roman" w:hAnsi="Calibri" w:cs="Calibri"/>
                <w:sz w:val="16"/>
                <w:szCs w:val="16"/>
              </w:rPr>
              <w:t>75.919.876,01</w:t>
            </w:r>
          </w:p>
        </w:tc>
        <w:tc>
          <w:tcPr>
            <w:tcW w:w="1220" w:type="dxa"/>
            <w:tcBorders>
              <w:top w:val="nil"/>
              <w:left w:val="nil"/>
              <w:bottom w:val="single" w:sz="4" w:space="0" w:color="auto"/>
              <w:right w:val="single" w:sz="4" w:space="0" w:color="auto"/>
            </w:tcBorders>
            <w:shd w:val="clear" w:color="000000" w:fill="FFFFFF"/>
            <w:noWrap/>
            <w:vAlign w:val="center"/>
            <w:hideMark/>
          </w:tcPr>
          <w:p w:rsidR="00601306" w:rsidRPr="007A18DD" w:rsidRDefault="00601306" w:rsidP="00601306">
            <w:pPr>
              <w:spacing w:after="0" w:line="240" w:lineRule="auto"/>
              <w:jc w:val="center"/>
              <w:rPr>
                <w:rFonts w:ascii="Calibri" w:eastAsia="Times New Roman" w:hAnsi="Calibri" w:cs="Calibri"/>
                <w:sz w:val="16"/>
                <w:szCs w:val="16"/>
              </w:rPr>
            </w:pPr>
            <w:r w:rsidRPr="007A18DD">
              <w:rPr>
                <w:rFonts w:ascii="Calibri" w:eastAsia="Times New Roman" w:hAnsi="Calibri" w:cs="Calibri"/>
                <w:sz w:val="16"/>
                <w:szCs w:val="16"/>
              </w:rPr>
              <w:t>-0,88%</w:t>
            </w:r>
          </w:p>
        </w:tc>
      </w:tr>
      <w:tr w:rsidR="00601306" w:rsidRPr="007A18DD" w:rsidTr="00601306">
        <w:trPr>
          <w:trHeight w:val="439"/>
        </w:trPr>
        <w:tc>
          <w:tcPr>
            <w:tcW w:w="4180" w:type="dxa"/>
            <w:tcBorders>
              <w:top w:val="nil"/>
              <w:left w:val="single" w:sz="4" w:space="0" w:color="auto"/>
              <w:bottom w:val="single" w:sz="4" w:space="0" w:color="auto"/>
              <w:right w:val="single" w:sz="4" w:space="0" w:color="auto"/>
            </w:tcBorders>
            <w:shd w:val="clear" w:color="000000" w:fill="FFFFFF"/>
            <w:vAlign w:val="center"/>
            <w:hideMark/>
          </w:tcPr>
          <w:p w:rsidR="00601306" w:rsidRPr="007A18DD" w:rsidRDefault="00601306" w:rsidP="00601306">
            <w:pPr>
              <w:spacing w:after="0" w:line="240" w:lineRule="auto"/>
              <w:rPr>
                <w:rFonts w:ascii="Calibri" w:eastAsia="Times New Roman" w:hAnsi="Calibri" w:cs="Calibri"/>
                <w:sz w:val="16"/>
                <w:szCs w:val="16"/>
              </w:rPr>
            </w:pPr>
            <w:r w:rsidRPr="007A18DD">
              <w:rPr>
                <w:rFonts w:ascii="Calibri" w:eastAsia="Times New Roman" w:hAnsi="Calibri" w:cs="Calibri"/>
                <w:sz w:val="16"/>
                <w:szCs w:val="16"/>
              </w:rPr>
              <w:t>Costo del personale ricercatore a tempo det. L. 240/2010</w:t>
            </w:r>
          </w:p>
        </w:tc>
        <w:tc>
          <w:tcPr>
            <w:tcW w:w="1540" w:type="dxa"/>
            <w:tcBorders>
              <w:top w:val="nil"/>
              <w:left w:val="nil"/>
              <w:bottom w:val="single" w:sz="4" w:space="0" w:color="auto"/>
              <w:right w:val="single" w:sz="4" w:space="0" w:color="auto"/>
            </w:tcBorders>
            <w:shd w:val="clear" w:color="000000" w:fill="FFFFFF"/>
            <w:vAlign w:val="center"/>
            <w:hideMark/>
          </w:tcPr>
          <w:p w:rsidR="00601306" w:rsidRPr="007A18DD" w:rsidRDefault="00601306" w:rsidP="00601306">
            <w:pPr>
              <w:spacing w:after="0" w:line="240" w:lineRule="auto"/>
              <w:jc w:val="center"/>
              <w:rPr>
                <w:rFonts w:ascii="Calibri" w:eastAsia="Times New Roman" w:hAnsi="Calibri" w:cs="Calibri"/>
                <w:sz w:val="16"/>
                <w:szCs w:val="16"/>
              </w:rPr>
            </w:pPr>
            <w:r w:rsidRPr="007A18DD">
              <w:rPr>
                <w:rFonts w:ascii="Calibri" w:eastAsia="Times New Roman" w:hAnsi="Calibri" w:cs="Calibri"/>
                <w:sz w:val="16"/>
                <w:szCs w:val="16"/>
              </w:rPr>
              <w:t>19.606.656,03</w:t>
            </w:r>
          </w:p>
        </w:tc>
        <w:tc>
          <w:tcPr>
            <w:tcW w:w="1540" w:type="dxa"/>
            <w:tcBorders>
              <w:top w:val="nil"/>
              <w:left w:val="nil"/>
              <w:bottom w:val="single" w:sz="4" w:space="0" w:color="auto"/>
              <w:right w:val="single" w:sz="4" w:space="0" w:color="auto"/>
            </w:tcBorders>
            <w:shd w:val="clear" w:color="000000" w:fill="FFFFFF"/>
            <w:vAlign w:val="center"/>
            <w:hideMark/>
          </w:tcPr>
          <w:p w:rsidR="00601306" w:rsidRPr="007A18DD" w:rsidRDefault="00601306" w:rsidP="00601306">
            <w:pPr>
              <w:spacing w:after="0" w:line="240" w:lineRule="auto"/>
              <w:jc w:val="center"/>
              <w:rPr>
                <w:rFonts w:ascii="Calibri" w:eastAsia="Times New Roman" w:hAnsi="Calibri" w:cs="Calibri"/>
                <w:sz w:val="16"/>
                <w:szCs w:val="16"/>
              </w:rPr>
            </w:pPr>
            <w:r w:rsidRPr="007A18DD">
              <w:rPr>
                <w:rFonts w:ascii="Calibri" w:eastAsia="Times New Roman" w:hAnsi="Calibri" w:cs="Calibri"/>
                <w:sz w:val="16"/>
                <w:szCs w:val="16"/>
              </w:rPr>
              <w:t>19.305.795,87</w:t>
            </w:r>
          </w:p>
        </w:tc>
        <w:tc>
          <w:tcPr>
            <w:tcW w:w="1220" w:type="dxa"/>
            <w:tcBorders>
              <w:top w:val="nil"/>
              <w:left w:val="nil"/>
              <w:bottom w:val="single" w:sz="4" w:space="0" w:color="auto"/>
              <w:right w:val="single" w:sz="4" w:space="0" w:color="auto"/>
            </w:tcBorders>
            <w:shd w:val="clear" w:color="000000" w:fill="FFFFFF"/>
            <w:noWrap/>
            <w:vAlign w:val="center"/>
            <w:hideMark/>
          </w:tcPr>
          <w:p w:rsidR="00601306" w:rsidRPr="007A18DD" w:rsidRDefault="00601306" w:rsidP="00601306">
            <w:pPr>
              <w:spacing w:after="0" w:line="240" w:lineRule="auto"/>
              <w:jc w:val="center"/>
              <w:rPr>
                <w:rFonts w:ascii="Calibri" w:eastAsia="Times New Roman" w:hAnsi="Calibri" w:cs="Calibri"/>
                <w:sz w:val="16"/>
                <w:szCs w:val="16"/>
              </w:rPr>
            </w:pPr>
            <w:r w:rsidRPr="007A18DD">
              <w:rPr>
                <w:rFonts w:ascii="Calibri" w:eastAsia="Times New Roman" w:hAnsi="Calibri" w:cs="Calibri"/>
                <w:sz w:val="16"/>
                <w:szCs w:val="16"/>
              </w:rPr>
              <w:t>1,56%</w:t>
            </w:r>
          </w:p>
        </w:tc>
      </w:tr>
      <w:tr w:rsidR="00601306" w:rsidRPr="007A18DD" w:rsidTr="00601306">
        <w:trPr>
          <w:trHeight w:val="439"/>
        </w:trPr>
        <w:tc>
          <w:tcPr>
            <w:tcW w:w="4180" w:type="dxa"/>
            <w:tcBorders>
              <w:top w:val="nil"/>
              <w:left w:val="single" w:sz="4" w:space="0" w:color="auto"/>
              <w:bottom w:val="single" w:sz="4" w:space="0" w:color="auto"/>
              <w:right w:val="single" w:sz="4" w:space="0" w:color="auto"/>
            </w:tcBorders>
            <w:shd w:val="clear" w:color="000000" w:fill="FFFFFF"/>
            <w:vAlign w:val="center"/>
            <w:hideMark/>
          </w:tcPr>
          <w:p w:rsidR="00601306" w:rsidRPr="007A18DD" w:rsidRDefault="00601306" w:rsidP="00601306">
            <w:pPr>
              <w:spacing w:after="0" w:line="240" w:lineRule="auto"/>
              <w:rPr>
                <w:rFonts w:ascii="Calibri" w:eastAsia="Times New Roman" w:hAnsi="Calibri" w:cs="Calibri"/>
                <w:sz w:val="16"/>
                <w:szCs w:val="16"/>
              </w:rPr>
            </w:pPr>
            <w:r w:rsidRPr="007A18DD">
              <w:rPr>
                <w:rFonts w:ascii="Calibri" w:eastAsia="Times New Roman" w:hAnsi="Calibri" w:cs="Calibri"/>
                <w:sz w:val="16"/>
                <w:szCs w:val="16"/>
              </w:rPr>
              <w:t>Costo del personale TAB a tempo det.</w:t>
            </w:r>
          </w:p>
        </w:tc>
        <w:tc>
          <w:tcPr>
            <w:tcW w:w="1540" w:type="dxa"/>
            <w:tcBorders>
              <w:top w:val="nil"/>
              <w:left w:val="nil"/>
              <w:bottom w:val="single" w:sz="4" w:space="0" w:color="auto"/>
              <w:right w:val="single" w:sz="4" w:space="0" w:color="auto"/>
            </w:tcBorders>
            <w:shd w:val="clear" w:color="000000" w:fill="FFFFFF"/>
            <w:noWrap/>
            <w:vAlign w:val="center"/>
            <w:hideMark/>
          </w:tcPr>
          <w:p w:rsidR="00601306" w:rsidRPr="007A18DD" w:rsidRDefault="00601306" w:rsidP="00601306">
            <w:pPr>
              <w:spacing w:after="0" w:line="240" w:lineRule="auto"/>
              <w:jc w:val="center"/>
              <w:rPr>
                <w:rFonts w:ascii="Calibri" w:eastAsia="Times New Roman" w:hAnsi="Calibri" w:cs="Calibri"/>
                <w:sz w:val="16"/>
                <w:szCs w:val="16"/>
              </w:rPr>
            </w:pPr>
            <w:r w:rsidRPr="007A18DD">
              <w:rPr>
                <w:rFonts w:ascii="Calibri" w:eastAsia="Times New Roman" w:hAnsi="Calibri" w:cs="Calibri"/>
                <w:sz w:val="16"/>
                <w:szCs w:val="16"/>
              </w:rPr>
              <w:t>2.190.168,89</w:t>
            </w:r>
          </w:p>
        </w:tc>
        <w:tc>
          <w:tcPr>
            <w:tcW w:w="1540" w:type="dxa"/>
            <w:tcBorders>
              <w:top w:val="nil"/>
              <w:left w:val="nil"/>
              <w:bottom w:val="single" w:sz="4" w:space="0" w:color="auto"/>
              <w:right w:val="single" w:sz="4" w:space="0" w:color="auto"/>
            </w:tcBorders>
            <w:shd w:val="clear" w:color="000000" w:fill="FFFFFF"/>
            <w:noWrap/>
            <w:vAlign w:val="center"/>
            <w:hideMark/>
          </w:tcPr>
          <w:p w:rsidR="00601306" w:rsidRPr="007A18DD" w:rsidRDefault="00601306" w:rsidP="00601306">
            <w:pPr>
              <w:spacing w:after="0" w:line="240" w:lineRule="auto"/>
              <w:jc w:val="center"/>
              <w:rPr>
                <w:rFonts w:ascii="Calibri" w:eastAsia="Times New Roman" w:hAnsi="Calibri" w:cs="Calibri"/>
                <w:sz w:val="16"/>
                <w:szCs w:val="16"/>
              </w:rPr>
            </w:pPr>
            <w:r w:rsidRPr="007A18DD">
              <w:rPr>
                <w:rFonts w:ascii="Calibri" w:eastAsia="Times New Roman" w:hAnsi="Calibri" w:cs="Calibri"/>
                <w:sz w:val="16"/>
                <w:szCs w:val="16"/>
              </w:rPr>
              <w:t>1.790.693,50</w:t>
            </w:r>
          </w:p>
        </w:tc>
        <w:tc>
          <w:tcPr>
            <w:tcW w:w="1220" w:type="dxa"/>
            <w:tcBorders>
              <w:top w:val="nil"/>
              <w:left w:val="nil"/>
              <w:bottom w:val="single" w:sz="4" w:space="0" w:color="auto"/>
              <w:right w:val="single" w:sz="4" w:space="0" w:color="auto"/>
            </w:tcBorders>
            <w:shd w:val="clear" w:color="000000" w:fill="FFFFFF"/>
            <w:noWrap/>
            <w:vAlign w:val="center"/>
            <w:hideMark/>
          </w:tcPr>
          <w:p w:rsidR="00601306" w:rsidRPr="007A18DD" w:rsidRDefault="00601306" w:rsidP="00601306">
            <w:pPr>
              <w:spacing w:after="0" w:line="240" w:lineRule="auto"/>
              <w:jc w:val="center"/>
              <w:rPr>
                <w:rFonts w:ascii="Calibri" w:eastAsia="Times New Roman" w:hAnsi="Calibri" w:cs="Calibri"/>
                <w:sz w:val="16"/>
                <w:szCs w:val="16"/>
              </w:rPr>
            </w:pPr>
            <w:r w:rsidRPr="007A18DD">
              <w:rPr>
                <w:rFonts w:ascii="Calibri" w:eastAsia="Times New Roman" w:hAnsi="Calibri" w:cs="Calibri"/>
                <w:sz w:val="16"/>
                <w:szCs w:val="16"/>
              </w:rPr>
              <w:t>22,31%</w:t>
            </w:r>
          </w:p>
        </w:tc>
      </w:tr>
      <w:tr w:rsidR="00601306" w:rsidRPr="007A18DD" w:rsidTr="00601306">
        <w:trPr>
          <w:trHeight w:val="439"/>
        </w:trPr>
        <w:tc>
          <w:tcPr>
            <w:tcW w:w="4180" w:type="dxa"/>
            <w:tcBorders>
              <w:top w:val="nil"/>
              <w:left w:val="single" w:sz="4" w:space="0" w:color="auto"/>
              <w:bottom w:val="single" w:sz="4" w:space="0" w:color="auto"/>
              <w:right w:val="single" w:sz="4" w:space="0" w:color="auto"/>
            </w:tcBorders>
            <w:shd w:val="clear" w:color="000000" w:fill="FFFFFF"/>
            <w:vAlign w:val="center"/>
            <w:hideMark/>
          </w:tcPr>
          <w:p w:rsidR="00601306" w:rsidRPr="007A18DD" w:rsidRDefault="00601306" w:rsidP="00601306">
            <w:pPr>
              <w:spacing w:after="0" w:line="240" w:lineRule="auto"/>
              <w:rPr>
                <w:rFonts w:ascii="Calibri" w:eastAsia="Times New Roman" w:hAnsi="Calibri" w:cs="Calibri"/>
                <w:sz w:val="16"/>
                <w:szCs w:val="16"/>
              </w:rPr>
            </w:pPr>
            <w:r w:rsidRPr="007A18DD">
              <w:rPr>
                <w:rFonts w:ascii="Calibri" w:eastAsia="Times New Roman" w:hAnsi="Calibri" w:cs="Calibri"/>
                <w:sz w:val="16"/>
                <w:szCs w:val="16"/>
              </w:rPr>
              <w:t>Missioni e rimborsi spese personale docente e ricercatore</w:t>
            </w:r>
          </w:p>
        </w:tc>
        <w:tc>
          <w:tcPr>
            <w:tcW w:w="1540" w:type="dxa"/>
            <w:tcBorders>
              <w:top w:val="nil"/>
              <w:left w:val="nil"/>
              <w:bottom w:val="single" w:sz="4" w:space="0" w:color="auto"/>
              <w:right w:val="single" w:sz="4" w:space="0" w:color="auto"/>
            </w:tcBorders>
            <w:shd w:val="clear" w:color="000000" w:fill="FFFFFF"/>
            <w:noWrap/>
            <w:vAlign w:val="center"/>
            <w:hideMark/>
          </w:tcPr>
          <w:p w:rsidR="00601306" w:rsidRPr="007A18DD" w:rsidRDefault="00601306" w:rsidP="00601306">
            <w:pPr>
              <w:spacing w:after="0" w:line="240" w:lineRule="auto"/>
              <w:jc w:val="center"/>
              <w:rPr>
                <w:rFonts w:ascii="Calibri" w:eastAsia="Times New Roman" w:hAnsi="Calibri" w:cs="Calibri"/>
                <w:sz w:val="16"/>
                <w:szCs w:val="16"/>
              </w:rPr>
            </w:pPr>
            <w:r w:rsidRPr="007A18DD">
              <w:rPr>
                <w:rFonts w:ascii="Calibri" w:eastAsia="Times New Roman" w:hAnsi="Calibri" w:cs="Calibri"/>
                <w:sz w:val="16"/>
                <w:szCs w:val="16"/>
              </w:rPr>
              <w:t>629.076,83</w:t>
            </w:r>
          </w:p>
        </w:tc>
        <w:tc>
          <w:tcPr>
            <w:tcW w:w="1540" w:type="dxa"/>
            <w:tcBorders>
              <w:top w:val="nil"/>
              <w:left w:val="nil"/>
              <w:bottom w:val="single" w:sz="4" w:space="0" w:color="auto"/>
              <w:right w:val="single" w:sz="4" w:space="0" w:color="auto"/>
            </w:tcBorders>
            <w:shd w:val="clear" w:color="000000" w:fill="FFFFFF"/>
            <w:noWrap/>
            <w:vAlign w:val="center"/>
            <w:hideMark/>
          </w:tcPr>
          <w:p w:rsidR="00601306" w:rsidRPr="007A18DD" w:rsidRDefault="00601306" w:rsidP="00601306">
            <w:pPr>
              <w:spacing w:after="0" w:line="240" w:lineRule="auto"/>
              <w:jc w:val="center"/>
              <w:rPr>
                <w:rFonts w:ascii="Calibri" w:eastAsia="Times New Roman" w:hAnsi="Calibri" w:cs="Calibri"/>
                <w:sz w:val="16"/>
                <w:szCs w:val="16"/>
              </w:rPr>
            </w:pPr>
            <w:r w:rsidRPr="007A18DD">
              <w:rPr>
                <w:rFonts w:ascii="Calibri" w:eastAsia="Times New Roman" w:hAnsi="Calibri" w:cs="Calibri"/>
                <w:sz w:val="16"/>
                <w:szCs w:val="16"/>
              </w:rPr>
              <w:t>3.366.645,32</w:t>
            </w:r>
          </w:p>
        </w:tc>
        <w:tc>
          <w:tcPr>
            <w:tcW w:w="1220" w:type="dxa"/>
            <w:tcBorders>
              <w:top w:val="nil"/>
              <w:left w:val="nil"/>
              <w:bottom w:val="single" w:sz="4" w:space="0" w:color="auto"/>
              <w:right w:val="single" w:sz="4" w:space="0" w:color="auto"/>
            </w:tcBorders>
            <w:shd w:val="clear" w:color="000000" w:fill="FFFFFF"/>
            <w:noWrap/>
            <w:vAlign w:val="center"/>
            <w:hideMark/>
          </w:tcPr>
          <w:p w:rsidR="00601306" w:rsidRPr="007A18DD" w:rsidRDefault="00601306" w:rsidP="00601306">
            <w:pPr>
              <w:spacing w:after="0" w:line="240" w:lineRule="auto"/>
              <w:jc w:val="center"/>
              <w:rPr>
                <w:rFonts w:ascii="Calibri" w:eastAsia="Times New Roman" w:hAnsi="Calibri" w:cs="Calibri"/>
                <w:sz w:val="16"/>
                <w:szCs w:val="16"/>
              </w:rPr>
            </w:pPr>
            <w:r w:rsidRPr="007A18DD">
              <w:rPr>
                <w:rFonts w:ascii="Calibri" w:eastAsia="Times New Roman" w:hAnsi="Calibri" w:cs="Calibri"/>
                <w:sz w:val="16"/>
                <w:szCs w:val="16"/>
              </w:rPr>
              <w:t>-81,31%</w:t>
            </w:r>
          </w:p>
        </w:tc>
      </w:tr>
      <w:tr w:rsidR="00601306" w:rsidRPr="007A18DD" w:rsidTr="00601306">
        <w:trPr>
          <w:trHeight w:val="439"/>
        </w:trPr>
        <w:tc>
          <w:tcPr>
            <w:tcW w:w="4180" w:type="dxa"/>
            <w:tcBorders>
              <w:top w:val="nil"/>
              <w:left w:val="single" w:sz="4" w:space="0" w:color="auto"/>
              <w:bottom w:val="single" w:sz="4" w:space="0" w:color="auto"/>
              <w:right w:val="single" w:sz="4" w:space="0" w:color="auto"/>
            </w:tcBorders>
            <w:shd w:val="clear" w:color="000000" w:fill="FFFFFF"/>
            <w:vAlign w:val="center"/>
            <w:hideMark/>
          </w:tcPr>
          <w:p w:rsidR="00601306" w:rsidRPr="007A18DD" w:rsidRDefault="00601306" w:rsidP="00601306">
            <w:pPr>
              <w:spacing w:after="0" w:line="240" w:lineRule="auto"/>
              <w:rPr>
                <w:rFonts w:ascii="Calibri" w:eastAsia="Times New Roman" w:hAnsi="Calibri" w:cs="Calibri"/>
                <w:sz w:val="16"/>
                <w:szCs w:val="16"/>
              </w:rPr>
            </w:pPr>
            <w:r w:rsidRPr="007A18DD">
              <w:rPr>
                <w:rFonts w:ascii="Calibri" w:eastAsia="Times New Roman" w:hAnsi="Calibri" w:cs="Calibri"/>
                <w:sz w:val="16"/>
                <w:szCs w:val="16"/>
              </w:rPr>
              <w:t>Missioni e rimborsi spese personale TAB</w:t>
            </w:r>
          </w:p>
        </w:tc>
        <w:tc>
          <w:tcPr>
            <w:tcW w:w="1540" w:type="dxa"/>
            <w:tcBorders>
              <w:top w:val="nil"/>
              <w:left w:val="nil"/>
              <w:bottom w:val="single" w:sz="4" w:space="0" w:color="auto"/>
              <w:right w:val="single" w:sz="4" w:space="0" w:color="auto"/>
            </w:tcBorders>
            <w:shd w:val="clear" w:color="000000" w:fill="FFFFFF"/>
            <w:vAlign w:val="center"/>
            <w:hideMark/>
          </w:tcPr>
          <w:p w:rsidR="00601306" w:rsidRPr="007A18DD" w:rsidRDefault="00601306" w:rsidP="00601306">
            <w:pPr>
              <w:spacing w:after="0" w:line="240" w:lineRule="auto"/>
              <w:jc w:val="center"/>
              <w:rPr>
                <w:rFonts w:ascii="Calibri" w:eastAsia="Times New Roman" w:hAnsi="Calibri" w:cs="Calibri"/>
                <w:sz w:val="16"/>
                <w:szCs w:val="16"/>
              </w:rPr>
            </w:pPr>
            <w:r w:rsidRPr="007A18DD">
              <w:rPr>
                <w:rFonts w:ascii="Calibri" w:eastAsia="Times New Roman" w:hAnsi="Calibri" w:cs="Calibri"/>
                <w:sz w:val="16"/>
                <w:szCs w:val="16"/>
              </w:rPr>
              <w:t>86.045,77</w:t>
            </w:r>
          </w:p>
        </w:tc>
        <w:tc>
          <w:tcPr>
            <w:tcW w:w="1540" w:type="dxa"/>
            <w:tcBorders>
              <w:top w:val="nil"/>
              <w:left w:val="nil"/>
              <w:bottom w:val="single" w:sz="4" w:space="0" w:color="auto"/>
              <w:right w:val="single" w:sz="4" w:space="0" w:color="auto"/>
            </w:tcBorders>
            <w:shd w:val="clear" w:color="000000" w:fill="FFFFFF"/>
            <w:vAlign w:val="center"/>
            <w:hideMark/>
          </w:tcPr>
          <w:p w:rsidR="00601306" w:rsidRPr="007A18DD" w:rsidRDefault="00601306" w:rsidP="00601306">
            <w:pPr>
              <w:spacing w:after="0" w:line="240" w:lineRule="auto"/>
              <w:jc w:val="center"/>
              <w:rPr>
                <w:rFonts w:ascii="Calibri" w:eastAsia="Times New Roman" w:hAnsi="Calibri" w:cs="Calibri"/>
                <w:sz w:val="16"/>
                <w:szCs w:val="16"/>
              </w:rPr>
            </w:pPr>
            <w:r w:rsidRPr="007A18DD">
              <w:rPr>
                <w:rFonts w:ascii="Calibri" w:eastAsia="Times New Roman" w:hAnsi="Calibri" w:cs="Calibri"/>
                <w:sz w:val="16"/>
                <w:szCs w:val="16"/>
              </w:rPr>
              <w:t>212.560,99</w:t>
            </w:r>
          </w:p>
        </w:tc>
        <w:tc>
          <w:tcPr>
            <w:tcW w:w="1220" w:type="dxa"/>
            <w:tcBorders>
              <w:top w:val="nil"/>
              <w:left w:val="nil"/>
              <w:bottom w:val="single" w:sz="4" w:space="0" w:color="auto"/>
              <w:right w:val="single" w:sz="4" w:space="0" w:color="auto"/>
            </w:tcBorders>
            <w:shd w:val="clear" w:color="000000" w:fill="FFFFFF"/>
            <w:noWrap/>
            <w:vAlign w:val="center"/>
            <w:hideMark/>
          </w:tcPr>
          <w:p w:rsidR="00601306" w:rsidRPr="007A18DD" w:rsidRDefault="00601306" w:rsidP="00601306">
            <w:pPr>
              <w:spacing w:after="0" w:line="240" w:lineRule="auto"/>
              <w:jc w:val="center"/>
              <w:rPr>
                <w:rFonts w:ascii="Calibri" w:eastAsia="Times New Roman" w:hAnsi="Calibri" w:cs="Calibri"/>
                <w:sz w:val="16"/>
                <w:szCs w:val="16"/>
              </w:rPr>
            </w:pPr>
            <w:r w:rsidRPr="007A18DD">
              <w:rPr>
                <w:rFonts w:ascii="Calibri" w:eastAsia="Times New Roman" w:hAnsi="Calibri" w:cs="Calibri"/>
                <w:sz w:val="16"/>
                <w:szCs w:val="16"/>
              </w:rPr>
              <w:t>-59,52%</w:t>
            </w:r>
          </w:p>
        </w:tc>
      </w:tr>
      <w:tr w:rsidR="00601306" w:rsidRPr="007A18DD" w:rsidTr="00601306">
        <w:trPr>
          <w:trHeight w:val="439"/>
        </w:trPr>
        <w:tc>
          <w:tcPr>
            <w:tcW w:w="4180" w:type="dxa"/>
            <w:tcBorders>
              <w:top w:val="nil"/>
              <w:left w:val="single" w:sz="4" w:space="0" w:color="auto"/>
              <w:bottom w:val="single" w:sz="4" w:space="0" w:color="auto"/>
              <w:right w:val="single" w:sz="4" w:space="0" w:color="auto"/>
            </w:tcBorders>
            <w:shd w:val="clear" w:color="000000" w:fill="9BC2E6"/>
            <w:noWrap/>
            <w:vAlign w:val="center"/>
            <w:hideMark/>
          </w:tcPr>
          <w:p w:rsidR="00601306" w:rsidRPr="007A18DD" w:rsidRDefault="00601306" w:rsidP="00601306">
            <w:pPr>
              <w:spacing w:after="0" w:line="240" w:lineRule="auto"/>
              <w:rPr>
                <w:rFonts w:ascii="Calibri" w:eastAsia="Times New Roman" w:hAnsi="Calibri" w:cs="Calibri"/>
                <w:b/>
                <w:bCs/>
                <w:sz w:val="16"/>
                <w:szCs w:val="16"/>
              </w:rPr>
            </w:pPr>
            <w:r w:rsidRPr="007A18DD">
              <w:rPr>
                <w:rFonts w:ascii="Calibri" w:eastAsia="Times New Roman" w:hAnsi="Calibri" w:cs="Calibri"/>
                <w:b/>
                <w:bCs/>
                <w:sz w:val="16"/>
                <w:szCs w:val="16"/>
              </w:rPr>
              <w:t>TOTALE COSTO</w:t>
            </w:r>
          </w:p>
        </w:tc>
        <w:tc>
          <w:tcPr>
            <w:tcW w:w="1540" w:type="dxa"/>
            <w:tcBorders>
              <w:top w:val="nil"/>
              <w:left w:val="nil"/>
              <w:bottom w:val="single" w:sz="4" w:space="0" w:color="auto"/>
              <w:right w:val="single" w:sz="4" w:space="0" w:color="auto"/>
            </w:tcBorders>
            <w:shd w:val="clear" w:color="000000" w:fill="9BC2E6"/>
            <w:vAlign w:val="center"/>
            <w:hideMark/>
          </w:tcPr>
          <w:p w:rsidR="00601306" w:rsidRPr="007A18DD" w:rsidRDefault="00601306" w:rsidP="00601306">
            <w:pPr>
              <w:spacing w:after="0" w:line="240" w:lineRule="auto"/>
              <w:jc w:val="center"/>
              <w:rPr>
                <w:rFonts w:ascii="Calibri" w:eastAsia="Times New Roman" w:hAnsi="Calibri" w:cs="Calibri"/>
                <w:b/>
                <w:bCs/>
                <w:sz w:val="16"/>
                <w:szCs w:val="16"/>
              </w:rPr>
            </w:pPr>
            <w:r w:rsidRPr="007A18DD">
              <w:rPr>
                <w:rFonts w:ascii="Calibri" w:eastAsia="Times New Roman" w:hAnsi="Calibri" w:cs="Calibri"/>
                <w:b/>
                <w:bCs/>
                <w:sz w:val="16"/>
                <w:szCs w:val="16"/>
              </w:rPr>
              <w:t>253.823.381,00</w:t>
            </w:r>
          </w:p>
        </w:tc>
        <w:tc>
          <w:tcPr>
            <w:tcW w:w="1540" w:type="dxa"/>
            <w:tcBorders>
              <w:top w:val="nil"/>
              <w:left w:val="nil"/>
              <w:bottom w:val="single" w:sz="4" w:space="0" w:color="auto"/>
              <w:right w:val="single" w:sz="4" w:space="0" w:color="auto"/>
            </w:tcBorders>
            <w:shd w:val="clear" w:color="000000" w:fill="9BC2E6"/>
            <w:vAlign w:val="center"/>
            <w:hideMark/>
          </w:tcPr>
          <w:p w:rsidR="00601306" w:rsidRPr="007A18DD" w:rsidRDefault="00601306" w:rsidP="00601306">
            <w:pPr>
              <w:spacing w:after="0" w:line="240" w:lineRule="auto"/>
              <w:jc w:val="center"/>
              <w:rPr>
                <w:rFonts w:ascii="Calibri" w:eastAsia="Times New Roman" w:hAnsi="Calibri" w:cs="Calibri"/>
                <w:b/>
                <w:bCs/>
                <w:sz w:val="16"/>
                <w:szCs w:val="16"/>
              </w:rPr>
            </w:pPr>
            <w:r w:rsidRPr="007A18DD">
              <w:rPr>
                <w:rFonts w:ascii="Calibri" w:eastAsia="Times New Roman" w:hAnsi="Calibri" w:cs="Calibri"/>
                <w:b/>
                <w:bCs/>
                <w:sz w:val="16"/>
                <w:szCs w:val="16"/>
              </w:rPr>
              <w:t>255.843.051,11</w:t>
            </w:r>
          </w:p>
        </w:tc>
        <w:tc>
          <w:tcPr>
            <w:tcW w:w="1220" w:type="dxa"/>
            <w:tcBorders>
              <w:top w:val="nil"/>
              <w:left w:val="nil"/>
              <w:bottom w:val="single" w:sz="4" w:space="0" w:color="auto"/>
              <w:right w:val="single" w:sz="4" w:space="0" w:color="auto"/>
            </w:tcBorders>
            <w:shd w:val="clear" w:color="000000" w:fill="9BC2E6"/>
            <w:vAlign w:val="center"/>
            <w:hideMark/>
          </w:tcPr>
          <w:p w:rsidR="00601306" w:rsidRPr="007A18DD" w:rsidRDefault="00601306" w:rsidP="00601306">
            <w:pPr>
              <w:spacing w:after="0" w:line="240" w:lineRule="auto"/>
              <w:jc w:val="center"/>
              <w:rPr>
                <w:rFonts w:ascii="Calibri" w:eastAsia="Times New Roman" w:hAnsi="Calibri" w:cs="Calibri"/>
                <w:b/>
                <w:bCs/>
                <w:sz w:val="16"/>
                <w:szCs w:val="16"/>
              </w:rPr>
            </w:pPr>
            <w:r w:rsidRPr="007A18DD">
              <w:rPr>
                <w:rFonts w:ascii="Calibri" w:eastAsia="Times New Roman" w:hAnsi="Calibri" w:cs="Calibri"/>
                <w:b/>
                <w:bCs/>
                <w:sz w:val="16"/>
                <w:szCs w:val="16"/>
              </w:rPr>
              <w:t>-0,79%</w:t>
            </w:r>
          </w:p>
        </w:tc>
      </w:tr>
    </w:tbl>
    <w:p w:rsidR="006B4426" w:rsidRPr="00601306" w:rsidRDefault="00601306" w:rsidP="008249BA">
      <w:pPr>
        <w:spacing w:after="0" w:line="240" w:lineRule="auto"/>
        <w:jc w:val="both"/>
        <w:rPr>
          <w:rFonts w:asciiTheme="minorHAnsi" w:hAnsiTheme="minorHAnsi" w:cstheme="minorHAnsi"/>
          <w:sz w:val="22"/>
        </w:rPr>
      </w:pPr>
      <w:r>
        <w:rPr>
          <w:rFonts w:cstheme="minorHAnsi"/>
        </w:rPr>
        <w:fldChar w:fldCharType="end"/>
      </w:r>
    </w:p>
    <w:p w:rsidR="00601306" w:rsidRDefault="00014239" w:rsidP="008249BA">
      <w:pPr>
        <w:spacing w:after="0" w:line="240" w:lineRule="auto"/>
        <w:jc w:val="both"/>
        <w:rPr>
          <w:szCs w:val="20"/>
        </w:rPr>
      </w:pPr>
      <w:r>
        <w:rPr>
          <w:szCs w:val="20"/>
        </w:rPr>
        <w:t>Per il personale a tempo indeterminato, a</w:t>
      </w:r>
      <w:r w:rsidR="00601306" w:rsidRPr="00601306">
        <w:rPr>
          <w:szCs w:val="20"/>
        </w:rPr>
        <w:t xml:space="preserve">umenta con consistenza sia il numero che il costo del personale docente mentre al contrario, al lieve aumento del personale TAB, corrisponde di contro una diminuzione del costo </w:t>
      </w:r>
      <w:r w:rsidRPr="00014239">
        <w:rPr>
          <w:szCs w:val="20"/>
        </w:rPr>
        <w:t xml:space="preserve">in quanto le assunzioni sono avvenute negli ultimi mesi dell’anno </w:t>
      </w:r>
      <w:r>
        <w:rPr>
          <w:szCs w:val="20"/>
        </w:rPr>
        <w:t xml:space="preserve">2020 </w:t>
      </w:r>
      <w:r w:rsidRPr="00014239">
        <w:rPr>
          <w:szCs w:val="20"/>
        </w:rPr>
        <w:t>a causa, sia dell’iniziale blocco dei concorsi, sia del fisiologico rallentamento degli stessi a seguito dell’emergenza pandemica</w:t>
      </w:r>
      <w:r>
        <w:rPr>
          <w:szCs w:val="20"/>
        </w:rPr>
        <w:t>.</w:t>
      </w:r>
    </w:p>
    <w:p w:rsidR="00014239" w:rsidRDefault="00014239" w:rsidP="008249BA">
      <w:pPr>
        <w:spacing w:after="0" w:line="240" w:lineRule="auto"/>
        <w:jc w:val="both"/>
        <w:rPr>
          <w:szCs w:val="20"/>
        </w:rPr>
      </w:pPr>
    </w:p>
    <w:p w:rsidR="00601306" w:rsidRDefault="00014239" w:rsidP="008249BA">
      <w:pPr>
        <w:spacing w:after="0" w:line="240" w:lineRule="auto"/>
        <w:jc w:val="both"/>
        <w:rPr>
          <w:i/>
          <w:szCs w:val="20"/>
          <w:highlight w:val="green"/>
        </w:rPr>
      </w:pPr>
      <w:r>
        <w:rPr>
          <w:szCs w:val="20"/>
        </w:rPr>
        <w:t xml:space="preserve">Aumenta considerevolmente il costo per personale TAB a tempo determinato </w:t>
      </w:r>
      <w:r w:rsidRPr="00014239">
        <w:rPr>
          <w:szCs w:val="20"/>
        </w:rPr>
        <w:t>per la presenza di un maggior numero di contratti su progetti finanziati dall’esterno</w:t>
      </w:r>
      <w:r>
        <w:rPr>
          <w:szCs w:val="20"/>
        </w:rPr>
        <w:t>.</w:t>
      </w:r>
      <w:r w:rsidR="00A4586A">
        <w:rPr>
          <w:szCs w:val="20"/>
        </w:rPr>
        <w:t xml:space="preserve"> L’aumento del costo del 22% è determinato dal fatto che nel 2019 ci furono 15 nuovi tempi determinati assunti verso la fine dell’anno: il loro costo pertanto si è pienamente realizzato solo nel 2020.</w:t>
      </w:r>
    </w:p>
    <w:p w:rsidR="00601306" w:rsidRPr="00014239" w:rsidRDefault="00601306" w:rsidP="008249BA">
      <w:pPr>
        <w:spacing w:after="0" w:line="240" w:lineRule="auto"/>
        <w:jc w:val="both"/>
        <w:rPr>
          <w:szCs w:val="20"/>
        </w:rPr>
      </w:pPr>
    </w:p>
    <w:p w:rsidR="00014239" w:rsidRPr="00014239" w:rsidRDefault="00014239" w:rsidP="00014239">
      <w:pPr>
        <w:spacing w:after="0" w:line="240" w:lineRule="auto"/>
        <w:jc w:val="both"/>
        <w:rPr>
          <w:szCs w:val="20"/>
        </w:rPr>
      </w:pPr>
      <w:r w:rsidRPr="00014239">
        <w:rPr>
          <w:szCs w:val="20"/>
        </w:rPr>
        <w:t>Il costo del personale docente cresce anche per gli incrementi previsti dall’applicazione degli scatti stipendiali, che diventano spesa fissa, come anche gli adeguamenti ISTAT collegati ai rinnovi contrattuali (2016/2018), che per l’anno 2020 è stato dell’1,71%, ancorché liquidato nel 2021.</w:t>
      </w:r>
    </w:p>
    <w:p w:rsidR="00014239" w:rsidRPr="00014239" w:rsidRDefault="00014239" w:rsidP="00014239">
      <w:pPr>
        <w:spacing w:after="0" w:line="240" w:lineRule="auto"/>
        <w:jc w:val="both"/>
        <w:rPr>
          <w:szCs w:val="20"/>
        </w:rPr>
      </w:pPr>
      <w:r w:rsidRPr="00014239">
        <w:rPr>
          <w:szCs w:val="20"/>
        </w:rPr>
        <w:t>Si ricorda che dal 2020 gli scatti sono diventati biennali (e ancora triennali per quei docenti che non avevano ancora completato il triennio della classe stipendiale successiva a quella in corso di maturazione al 31/12/2017) e determineranno un’accelerazione della spesa.</w:t>
      </w:r>
    </w:p>
    <w:p w:rsidR="00097749" w:rsidRPr="00097749" w:rsidRDefault="00B92C47" w:rsidP="00097749">
      <w:pPr>
        <w:spacing w:after="0" w:line="240" w:lineRule="auto"/>
        <w:jc w:val="both"/>
        <w:rPr>
          <w:i/>
          <w:color w:val="C00000"/>
          <w:szCs w:val="20"/>
        </w:rPr>
      </w:pPr>
      <w:r w:rsidRPr="008204CC">
        <w:rPr>
          <w:i/>
          <w:color w:val="C00000"/>
          <w:szCs w:val="20"/>
        </w:rPr>
        <w:t>Commento. Considerando</w:t>
      </w:r>
      <w:r w:rsidR="00014239" w:rsidRPr="008204CC">
        <w:rPr>
          <w:i/>
          <w:color w:val="C00000"/>
          <w:szCs w:val="20"/>
        </w:rPr>
        <w:t xml:space="preserve"> l’importante aumento del personale docente rispetto al 2019 (+52), più del doppio rispetto al personale T</w:t>
      </w:r>
      <w:r w:rsidR="00A37246">
        <w:rPr>
          <w:i/>
          <w:color w:val="C00000"/>
          <w:szCs w:val="20"/>
        </w:rPr>
        <w:t>.</w:t>
      </w:r>
      <w:r w:rsidR="00014239" w:rsidRPr="008204CC">
        <w:rPr>
          <w:i/>
          <w:color w:val="C00000"/>
          <w:szCs w:val="20"/>
        </w:rPr>
        <w:t>A</w:t>
      </w:r>
      <w:r w:rsidR="00A37246">
        <w:rPr>
          <w:i/>
          <w:color w:val="C00000"/>
          <w:szCs w:val="20"/>
        </w:rPr>
        <w:t>.</w:t>
      </w:r>
      <w:r w:rsidR="00014239" w:rsidRPr="008204CC">
        <w:rPr>
          <w:i/>
          <w:color w:val="C00000"/>
          <w:szCs w:val="20"/>
        </w:rPr>
        <w:t>B</w:t>
      </w:r>
      <w:r w:rsidR="00A37246">
        <w:rPr>
          <w:i/>
          <w:color w:val="C00000"/>
          <w:szCs w:val="20"/>
        </w:rPr>
        <w:t>.</w:t>
      </w:r>
      <w:r w:rsidR="00014239" w:rsidRPr="008204CC">
        <w:rPr>
          <w:i/>
          <w:color w:val="C00000"/>
          <w:szCs w:val="20"/>
        </w:rPr>
        <w:t xml:space="preserve"> (+25), così come le dinamiche di costo relative agli scatti stipendiali</w:t>
      </w:r>
      <w:r w:rsidRPr="008204CC">
        <w:rPr>
          <w:i/>
          <w:color w:val="C00000"/>
          <w:szCs w:val="20"/>
        </w:rPr>
        <w:t xml:space="preserve"> (ora biennali),</w:t>
      </w:r>
      <w:r w:rsidR="00014239" w:rsidRPr="008204CC">
        <w:rPr>
          <w:i/>
          <w:color w:val="C00000"/>
          <w:szCs w:val="20"/>
        </w:rPr>
        <w:t xml:space="preserve"> che diventano spesa fissa</w:t>
      </w:r>
      <w:r w:rsidRPr="008204CC">
        <w:rPr>
          <w:i/>
          <w:color w:val="C00000"/>
          <w:szCs w:val="20"/>
        </w:rPr>
        <w:t>,</w:t>
      </w:r>
      <w:r w:rsidR="00014239" w:rsidRPr="008204CC">
        <w:rPr>
          <w:i/>
          <w:color w:val="C00000"/>
          <w:szCs w:val="20"/>
        </w:rPr>
        <w:t xml:space="preserve"> e gli adeguamenti ISTAT</w:t>
      </w:r>
      <w:r w:rsidRPr="008204CC">
        <w:rPr>
          <w:i/>
          <w:color w:val="C00000"/>
          <w:szCs w:val="20"/>
        </w:rPr>
        <w:t>, consiglio prudenza nelle politiche assunzionali relative alla docenza, per mantenere il sistema sostenibile.</w:t>
      </w:r>
      <w:r w:rsidR="00097749" w:rsidRPr="00097749">
        <w:rPr>
          <w:rFonts w:ascii="Times New Roman" w:eastAsia="Times New Roman" w:hAnsi="Times New Roman" w:cs="Times New Roman"/>
          <w:color w:val="FF0000"/>
          <w:sz w:val="25"/>
          <w:szCs w:val="25"/>
        </w:rPr>
        <w:t xml:space="preserve"> </w:t>
      </w:r>
      <w:r w:rsidR="00097749">
        <w:rPr>
          <w:i/>
          <w:color w:val="C00000"/>
          <w:szCs w:val="20"/>
        </w:rPr>
        <w:t>S</w:t>
      </w:r>
      <w:r w:rsidR="00097749" w:rsidRPr="00097749">
        <w:rPr>
          <w:i/>
          <w:color w:val="C00000"/>
          <w:szCs w:val="20"/>
        </w:rPr>
        <w:t>i potrebbe equlibrare la storica divisione dei punti organico in “75% per i docenti e 25% per il personale T.A.B.” allargando un po’ di più la percentuale per questi ultimi: sia per risolvere i problemi di carenza di organico, sia perché il personale T.A.B. costa di meno.</w:t>
      </w:r>
    </w:p>
    <w:p w:rsidR="00601306" w:rsidRPr="008204CC" w:rsidRDefault="00601306" w:rsidP="008249BA">
      <w:pPr>
        <w:spacing w:after="0" w:line="240" w:lineRule="auto"/>
        <w:jc w:val="both"/>
        <w:rPr>
          <w:i/>
          <w:color w:val="C00000"/>
          <w:szCs w:val="20"/>
        </w:rPr>
      </w:pPr>
    </w:p>
    <w:p w:rsidR="00601306" w:rsidRDefault="00601306" w:rsidP="008249BA">
      <w:pPr>
        <w:spacing w:after="0" w:line="240" w:lineRule="auto"/>
        <w:jc w:val="both"/>
        <w:rPr>
          <w:szCs w:val="20"/>
          <w:highlight w:val="yellow"/>
        </w:rPr>
      </w:pPr>
    </w:p>
    <w:p w:rsidR="009649C7" w:rsidRDefault="009271FA" w:rsidP="009649C7">
      <w:pPr>
        <w:ind w:left="0" w:firstLine="0"/>
        <w:rPr>
          <w:b/>
        </w:rPr>
      </w:pPr>
      <w:r w:rsidRPr="009649C7">
        <w:rPr>
          <w:b/>
        </w:rPr>
        <w:t>G</w:t>
      </w:r>
      <w:r w:rsidR="00C42FAE" w:rsidRPr="009649C7">
        <w:rPr>
          <w:b/>
        </w:rPr>
        <w:t>) Costo del lavoro svolto in convenzione o co</w:t>
      </w:r>
      <w:r w:rsidR="009649C7" w:rsidRPr="009649C7">
        <w:rPr>
          <w:b/>
        </w:rPr>
        <w:t>n collaborazioni professionali:</w:t>
      </w:r>
    </w:p>
    <w:p w:rsidR="009649C7" w:rsidRPr="009649C7" w:rsidRDefault="009649C7" w:rsidP="009649C7">
      <w:pPr>
        <w:ind w:left="0" w:firstLine="0"/>
        <w:rPr>
          <w:b/>
          <w:highlight w:val="yellow"/>
        </w:rPr>
      </w:pPr>
      <w:r>
        <w:fldChar w:fldCharType="begin"/>
      </w:r>
      <w:r>
        <w:instrText xml:space="preserve"> LINK Excel.Sheet.12 "C:\\Users\\CANAVESEA\\Documents\\conto consuntivo 2020\\spesa personale_ind_verifica 2020_ac.xlsx" "altre spese!R3C6:R8C9" \a \f 4 \h </w:instrText>
      </w:r>
      <w:r>
        <w:fldChar w:fldCharType="separate"/>
      </w:r>
    </w:p>
    <w:tbl>
      <w:tblPr>
        <w:tblW w:w="7920" w:type="dxa"/>
        <w:tblCellMar>
          <w:left w:w="70" w:type="dxa"/>
          <w:right w:w="70" w:type="dxa"/>
        </w:tblCellMar>
        <w:tblLook w:val="04A0" w:firstRow="1" w:lastRow="0" w:firstColumn="1" w:lastColumn="0" w:noHBand="0" w:noVBand="1"/>
      </w:tblPr>
      <w:tblGrid>
        <w:gridCol w:w="3820"/>
        <w:gridCol w:w="1520"/>
        <w:gridCol w:w="1440"/>
        <w:gridCol w:w="1140"/>
      </w:tblGrid>
      <w:tr w:rsidR="009649C7" w:rsidRPr="007A18DD" w:rsidTr="00F61572">
        <w:trPr>
          <w:trHeight w:val="462"/>
        </w:trPr>
        <w:tc>
          <w:tcPr>
            <w:tcW w:w="3820" w:type="dxa"/>
            <w:tcBorders>
              <w:top w:val="single" w:sz="4" w:space="0" w:color="auto"/>
              <w:left w:val="single" w:sz="4" w:space="0" w:color="auto"/>
              <w:bottom w:val="single" w:sz="4" w:space="0" w:color="auto"/>
              <w:right w:val="single" w:sz="4" w:space="0" w:color="auto"/>
            </w:tcBorders>
            <w:shd w:val="clear" w:color="000000" w:fill="9BC2E6"/>
            <w:vAlign w:val="center"/>
            <w:hideMark/>
          </w:tcPr>
          <w:p w:rsidR="009649C7" w:rsidRPr="007A18DD" w:rsidRDefault="009649C7" w:rsidP="00F61572">
            <w:pPr>
              <w:spacing w:after="0" w:line="240" w:lineRule="auto"/>
              <w:rPr>
                <w:rFonts w:ascii="Calibri" w:eastAsia="Times New Roman" w:hAnsi="Calibri" w:cs="Calibri"/>
                <w:b/>
                <w:bCs/>
                <w:sz w:val="16"/>
                <w:szCs w:val="16"/>
              </w:rPr>
            </w:pPr>
            <w:r w:rsidRPr="007A18DD">
              <w:rPr>
                <w:rFonts w:ascii="Calibri" w:eastAsia="Times New Roman" w:hAnsi="Calibri" w:cs="Calibri"/>
                <w:b/>
                <w:bCs/>
                <w:sz w:val="16"/>
                <w:szCs w:val="16"/>
              </w:rPr>
              <w:t>Tipologia di attività</w:t>
            </w:r>
          </w:p>
        </w:tc>
        <w:tc>
          <w:tcPr>
            <w:tcW w:w="1520" w:type="dxa"/>
            <w:tcBorders>
              <w:top w:val="single" w:sz="4" w:space="0" w:color="auto"/>
              <w:left w:val="nil"/>
              <w:bottom w:val="single" w:sz="4" w:space="0" w:color="auto"/>
              <w:right w:val="single" w:sz="4" w:space="0" w:color="auto"/>
            </w:tcBorders>
            <w:shd w:val="clear" w:color="000000" w:fill="9BC2E6"/>
            <w:vAlign w:val="center"/>
            <w:hideMark/>
          </w:tcPr>
          <w:p w:rsidR="009649C7" w:rsidRPr="007A18DD" w:rsidRDefault="009649C7" w:rsidP="00F61572">
            <w:pPr>
              <w:spacing w:after="0" w:line="240" w:lineRule="auto"/>
              <w:jc w:val="center"/>
              <w:rPr>
                <w:rFonts w:ascii="Calibri" w:eastAsia="Times New Roman" w:hAnsi="Calibri" w:cs="Calibri"/>
                <w:b/>
                <w:bCs/>
                <w:sz w:val="16"/>
                <w:szCs w:val="16"/>
              </w:rPr>
            </w:pPr>
            <w:r w:rsidRPr="007A18DD">
              <w:rPr>
                <w:rFonts w:ascii="Calibri" w:eastAsia="Times New Roman" w:hAnsi="Calibri" w:cs="Calibri"/>
                <w:b/>
                <w:bCs/>
                <w:sz w:val="16"/>
                <w:szCs w:val="16"/>
              </w:rPr>
              <w:t>Costo totale 2020</w:t>
            </w:r>
          </w:p>
        </w:tc>
        <w:tc>
          <w:tcPr>
            <w:tcW w:w="1440" w:type="dxa"/>
            <w:tcBorders>
              <w:top w:val="single" w:sz="4" w:space="0" w:color="auto"/>
              <w:left w:val="nil"/>
              <w:bottom w:val="single" w:sz="4" w:space="0" w:color="auto"/>
              <w:right w:val="single" w:sz="4" w:space="0" w:color="auto"/>
            </w:tcBorders>
            <w:shd w:val="clear" w:color="000000" w:fill="9BC2E6"/>
            <w:vAlign w:val="center"/>
            <w:hideMark/>
          </w:tcPr>
          <w:p w:rsidR="009649C7" w:rsidRPr="007A18DD" w:rsidRDefault="009649C7" w:rsidP="00F61572">
            <w:pPr>
              <w:spacing w:after="0" w:line="240" w:lineRule="auto"/>
              <w:jc w:val="center"/>
              <w:rPr>
                <w:rFonts w:ascii="Calibri" w:eastAsia="Times New Roman" w:hAnsi="Calibri" w:cs="Calibri"/>
                <w:b/>
                <w:bCs/>
                <w:sz w:val="16"/>
                <w:szCs w:val="16"/>
              </w:rPr>
            </w:pPr>
            <w:r w:rsidRPr="007A18DD">
              <w:rPr>
                <w:rFonts w:ascii="Calibri" w:eastAsia="Times New Roman" w:hAnsi="Calibri" w:cs="Calibri"/>
                <w:b/>
                <w:bCs/>
                <w:sz w:val="16"/>
                <w:szCs w:val="16"/>
              </w:rPr>
              <w:t>Costo totale 2019</w:t>
            </w:r>
          </w:p>
        </w:tc>
        <w:tc>
          <w:tcPr>
            <w:tcW w:w="1140" w:type="dxa"/>
            <w:tcBorders>
              <w:top w:val="single" w:sz="4" w:space="0" w:color="auto"/>
              <w:left w:val="nil"/>
              <w:bottom w:val="single" w:sz="4" w:space="0" w:color="auto"/>
              <w:right w:val="single" w:sz="4" w:space="0" w:color="auto"/>
            </w:tcBorders>
            <w:shd w:val="clear" w:color="000000" w:fill="9BC2E6"/>
            <w:noWrap/>
            <w:vAlign w:val="center"/>
            <w:hideMark/>
          </w:tcPr>
          <w:p w:rsidR="009649C7" w:rsidRPr="007A18DD" w:rsidRDefault="009649C7" w:rsidP="00F61572">
            <w:pPr>
              <w:spacing w:after="0" w:line="240" w:lineRule="auto"/>
              <w:jc w:val="center"/>
              <w:rPr>
                <w:rFonts w:ascii="Calibri" w:eastAsia="Times New Roman" w:hAnsi="Calibri" w:cs="Calibri"/>
                <w:b/>
                <w:bCs/>
                <w:sz w:val="16"/>
                <w:szCs w:val="16"/>
              </w:rPr>
            </w:pPr>
            <w:r w:rsidRPr="007A18DD">
              <w:rPr>
                <w:rFonts w:ascii="Calibri" w:eastAsia="Times New Roman" w:hAnsi="Calibri" w:cs="Calibri"/>
                <w:b/>
                <w:bCs/>
                <w:sz w:val="16"/>
                <w:szCs w:val="16"/>
              </w:rPr>
              <w:t>∆ 2020/2019</w:t>
            </w:r>
          </w:p>
        </w:tc>
      </w:tr>
      <w:tr w:rsidR="009649C7" w:rsidRPr="007A18DD" w:rsidTr="00F61572">
        <w:trPr>
          <w:trHeight w:val="462"/>
        </w:trPr>
        <w:tc>
          <w:tcPr>
            <w:tcW w:w="3820" w:type="dxa"/>
            <w:tcBorders>
              <w:top w:val="nil"/>
              <w:left w:val="single" w:sz="4" w:space="0" w:color="auto"/>
              <w:bottom w:val="single" w:sz="4" w:space="0" w:color="auto"/>
              <w:right w:val="single" w:sz="4" w:space="0" w:color="auto"/>
            </w:tcBorders>
            <w:shd w:val="clear" w:color="000000" w:fill="FFFFFF"/>
            <w:noWrap/>
            <w:vAlign w:val="center"/>
            <w:hideMark/>
          </w:tcPr>
          <w:p w:rsidR="009649C7" w:rsidRPr="007A18DD" w:rsidRDefault="009649C7" w:rsidP="00F61572">
            <w:pPr>
              <w:spacing w:after="0" w:line="240" w:lineRule="auto"/>
              <w:rPr>
                <w:rFonts w:ascii="Calibri" w:eastAsia="Times New Roman" w:hAnsi="Calibri" w:cs="Calibri"/>
                <w:sz w:val="16"/>
                <w:szCs w:val="16"/>
              </w:rPr>
            </w:pPr>
            <w:r w:rsidRPr="007A18DD">
              <w:rPr>
                <w:rFonts w:ascii="Calibri" w:eastAsia="Times New Roman" w:hAnsi="Calibri" w:cs="Calibri"/>
                <w:sz w:val="16"/>
                <w:szCs w:val="16"/>
              </w:rPr>
              <w:t>Incarichi per attività scientifiche/tecniche</w:t>
            </w:r>
          </w:p>
        </w:tc>
        <w:tc>
          <w:tcPr>
            <w:tcW w:w="1520" w:type="dxa"/>
            <w:tcBorders>
              <w:top w:val="nil"/>
              <w:left w:val="nil"/>
              <w:bottom w:val="single" w:sz="4" w:space="0" w:color="auto"/>
              <w:right w:val="single" w:sz="4" w:space="0" w:color="auto"/>
            </w:tcBorders>
            <w:shd w:val="clear" w:color="000000" w:fill="FFFFFF"/>
            <w:noWrap/>
            <w:vAlign w:val="center"/>
            <w:hideMark/>
          </w:tcPr>
          <w:p w:rsidR="009649C7" w:rsidRPr="007A18DD" w:rsidRDefault="009649C7" w:rsidP="00F61572">
            <w:pPr>
              <w:spacing w:after="0" w:line="240" w:lineRule="auto"/>
              <w:jc w:val="center"/>
              <w:rPr>
                <w:rFonts w:ascii="Calibri" w:eastAsia="Times New Roman" w:hAnsi="Calibri" w:cs="Calibri"/>
                <w:sz w:val="16"/>
                <w:szCs w:val="16"/>
              </w:rPr>
            </w:pPr>
            <w:r w:rsidRPr="007A18DD">
              <w:rPr>
                <w:rFonts w:ascii="Calibri" w:eastAsia="Times New Roman" w:hAnsi="Calibri" w:cs="Calibri"/>
                <w:sz w:val="16"/>
                <w:szCs w:val="16"/>
              </w:rPr>
              <w:t>2.463.909,86</w:t>
            </w:r>
          </w:p>
        </w:tc>
        <w:tc>
          <w:tcPr>
            <w:tcW w:w="1440" w:type="dxa"/>
            <w:tcBorders>
              <w:top w:val="nil"/>
              <w:left w:val="nil"/>
              <w:bottom w:val="single" w:sz="4" w:space="0" w:color="auto"/>
              <w:right w:val="single" w:sz="4" w:space="0" w:color="auto"/>
            </w:tcBorders>
            <w:shd w:val="clear" w:color="000000" w:fill="FFFFFF"/>
            <w:noWrap/>
            <w:vAlign w:val="center"/>
            <w:hideMark/>
          </w:tcPr>
          <w:p w:rsidR="009649C7" w:rsidRPr="007A18DD" w:rsidRDefault="009649C7" w:rsidP="00F61572">
            <w:pPr>
              <w:spacing w:after="0" w:line="240" w:lineRule="auto"/>
              <w:jc w:val="center"/>
              <w:rPr>
                <w:rFonts w:ascii="Calibri" w:eastAsia="Times New Roman" w:hAnsi="Calibri" w:cs="Calibri"/>
                <w:sz w:val="16"/>
                <w:szCs w:val="16"/>
              </w:rPr>
            </w:pPr>
            <w:r w:rsidRPr="007A18DD">
              <w:rPr>
                <w:rFonts w:ascii="Calibri" w:eastAsia="Times New Roman" w:hAnsi="Calibri" w:cs="Calibri"/>
                <w:sz w:val="16"/>
                <w:szCs w:val="16"/>
              </w:rPr>
              <w:t>4.263.365,54</w:t>
            </w:r>
          </w:p>
        </w:tc>
        <w:tc>
          <w:tcPr>
            <w:tcW w:w="1140" w:type="dxa"/>
            <w:tcBorders>
              <w:top w:val="nil"/>
              <w:left w:val="nil"/>
              <w:bottom w:val="single" w:sz="4" w:space="0" w:color="auto"/>
              <w:right w:val="single" w:sz="4" w:space="0" w:color="auto"/>
            </w:tcBorders>
            <w:shd w:val="clear" w:color="000000" w:fill="FFFFFF"/>
            <w:noWrap/>
            <w:vAlign w:val="center"/>
            <w:hideMark/>
          </w:tcPr>
          <w:p w:rsidR="009649C7" w:rsidRPr="007A18DD" w:rsidRDefault="009649C7" w:rsidP="00F61572">
            <w:pPr>
              <w:spacing w:after="0" w:line="240" w:lineRule="auto"/>
              <w:jc w:val="center"/>
              <w:rPr>
                <w:rFonts w:ascii="Calibri" w:eastAsia="Times New Roman" w:hAnsi="Calibri" w:cs="Calibri"/>
                <w:sz w:val="16"/>
                <w:szCs w:val="16"/>
              </w:rPr>
            </w:pPr>
            <w:r w:rsidRPr="007A18DD">
              <w:rPr>
                <w:rFonts w:ascii="Calibri" w:eastAsia="Times New Roman" w:hAnsi="Calibri" w:cs="Calibri"/>
                <w:sz w:val="16"/>
                <w:szCs w:val="16"/>
              </w:rPr>
              <w:t>-42,21%</w:t>
            </w:r>
          </w:p>
        </w:tc>
      </w:tr>
      <w:tr w:rsidR="009649C7" w:rsidRPr="007A18DD" w:rsidTr="00F61572">
        <w:trPr>
          <w:trHeight w:val="462"/>
        </w:trPr>
        <w:tc>
          <w:tcPr>
            <w:tcW w:w="3820" w:type="dxa"/>
            <w:tcBorders>
              <w:top w:val="nil"/>
              <w:left w:val="single" w:sz="4" w:space="0" w:color="auto"/>
              <w:bottom w:val="single" w:sz="4" w:space="0" w:color="auto"/>
              <w:right w:val="single" w:sz="4" w:space="0" w:color="auto"/>
            </w:tcBorders>
            <w:shd w:val="clear" w:color="000000" w:fill="FFFFFF"/>
            <w:noWrap/>
            <w:vAlign w:val="center"/>
            <w:hideMark/>
          </w:tcPr>
          <w:p w:rsidR="009649C7" w:rsidRPr="007A18DD" w:rsidRDefault="009649C7" w:rsidP="00F61572">
            <w:pPr>
              <w:spacing w:after="0" w:line="240" w:lineRule="auto"/>
              <w:rPr>
                <w:rFonts w:ascii="Calibri" w:eastAsia="Times New Roman" w:hAnsi="Calibri" w:cs="Calibri"/>
                <w:sz w:val="16"/>
                <w:szCs w:val="16"/>
              </w:rPr>
            </w:pPr>
            <w:r w:rsidRPr="007A18DD">
              <w:rPr>
                <w:rFonts w:ascii="Calibri" w:eastAsia="Times New Roman" w:hAnsi="Calibri" w:cs="Calibri"/>
                <w:sz w:val="16"/>
                <w:szCs w:val="16"/>
              </w:rPr>
              <w:t>Incarichi per la didattica/ricerca</w:t>
            </w:r>
          </w:p>
        </w:tc>
        <w:tc>
          <w:tcPr>
            <w:tcW w:w="1520" w:type="dxa"/>
            <w:tcBorders>
              <w:top w:val="nil"/>
              <w:left w:val="nil"/>
              <w:bottom w:val="single" w:sz="4" w:space="0" w:color="auto"/>
              <w:right w:val="single" w:sz="4" w:space="0" w:color="auto"/>
            </w:tcBorders>
            <w:shd w:val="clear" w:color="000000" w:fill="FFFFFF"/>
            <w:noWrap/>
            <w:vAlign w:val="center"/>
            <w:hideMark/>
          </w:tcPr>
          <w:p w:rsidR="009649C7" w:rsidRPr="007A18DD" w:rsidRDefault="009649C7" w:rsidP="00F61572">
            <w:pPr>
              <w:spacing w:after="0" w:line="240" w:lineRule="auto"/>
              <w:jc w:val="center"/>
              <w:rPr>
                <w:rFonts w:ascii="Calibri" w:eastAsia="Times New Roman" w:hAnsi="Calibri" w:cs="Calibri"/>
                <w:sz w:val="16"/>
                <w:szCs w:val="16"/>
              </w:rPr>
            </w:pPr>
            <w:r w:rsidRPr="007A18DD">
              <w:rPr>
                <w:rFonts w:ascii="Calibri" w:eastAsia="Times New Roman" w:hAnsi="Calibri" w:cs="Calibri"/>
                <w:sz w:val="16"/>
                <w:szCs w:val="16"/>
              </w:rPr>
              <w:t>3.127.686,12</w:t>
            </w:r>
          </w:p>
        </w:tc>
        <w:tc>
          <w:tcPr>
            <w:tcW w:w="1440" w:type="dxa"/>
            <w:tcBorders>
              <w:top w:val="nil"/>
              <w:left w:val="nil"/>
              <w:bottom w:val="single" w:sz="4" w:space="0" w:color="auto"/>
              <w:right w:val="single" w:sz="4" w:space="0" w:color="auto"/>
            </w:tcBorders>
            <w:shd w:val="clear" w:color="000000" w:fill="FFFFFF"/>
            <w:noWrap/>
            <w:vAlign w:val="center"/>
            <w:hideMark/>
          </w:tcPr>
          <w:p w:rsidR="009649C7" w:rsidRPr="007A18DD" w:rsidRDefault="009649C7" w:rsidP="00F61572">
            <w:pPr>
              <w:spacing w:after="0" w:line="240" w:lineRule="auto"/>
              <w:jc w:val="center"/>
              <w:rPr>
                <w:rFonts w:ascii="Calibri" w:eastAsia="Times New Roman" w:hAnsi="Calibri" w:cs="Calibri"/>
                <w:sz w:val="16"/>
                <w:szCs w:val="16"/>
              </w:rPr>
            </w:pPr>
            <w:r w:rsidRPr="007A18DD">
              <w:rPr>
                <w:rFonts w:ascii="Calibri" w:eastAsia="Times New Roman" w:hAnsi="Calibri" w:cs="Calibri"/>
                <w:sz w:val="16"/>
                <w:szCs w:val="16"/>
              </w:rPr>
              <w:t>3.152.503,79</w:t>
            </w:r>
          </w:p>
        </w:tc>
        <w:tc>
          <w:tcPr>
            <w:tcW w:w="1140" w:type="dxa"/>
            <w:tcBorders>
              <w:top w:val="nil"/>
              <w:left w:val="nil"/>
              <w:bottom w:val="single" w:sz="4" w:space="0" w:color="auto"/>
              <w:right w:val="single" w:sz="4" w:space="0" w:color="auto"/>
            </w:tcBorders>
            <w:shd w:val="clear" w:color="000000" w:fill="FFFFFF"/>
            <w:noWrap/>
            <w:vAlign w:val="center"/>
            <w:hideMark/>
          </w:tcPr>
          <w:p w:rsidR="009649C7" w:rsidRPr="007A18DD" w:rsidRDefault="009649C7" w:rsidP="00F61572">
            <w:pPr>
              <w:spacing w:after="0" w:line="240" w:lineRule="auto"/>
              <w:jc w:val="center"/>
              <w:rPr>
                <w:rFonts w:ascii="Calibri" w:eastAsia="Times New Roman" w:hAnsi="Calibri" w:cs="Calibri"/>
                <w:sz w:val="16"/>
                <w:szCs w:val="16"/>
              </w:rPr>
            </w:pPr>
            <w:r w:rsidRPr="007A18DD">
              <w:rPr>
                <w:rFonts w:ascii="Calibri" w:eastAsia="Times New Roman" w:hAnsi="Calibri" w:cs="Calibri"/>
                <w:sz w:val="16"/>
                <w:szCs w:val="16"/>
              </w:rPr>
              <w:t>-0,79%</w:t>
            </w:r>
          </w:p>
        </w:tc>
      </w:tr>
      <w:tr w:rsidR="009649C7" w:rsidRPr="007A18DD" w:rsidTr="00F61572">
        <w:trPr>
          <w:trHeight w:val="462"/>
        </w:trPr>
        <w:tc>
          <w:tcPr>
            <w:tcW w:w="3820" w:type="dxa"/>
            <w:tcBorders>
              <w:top w:val="nil"/>
              <w:left w:val="single" w:sz="4" w:space="0" w:color="auto"/>
              <w:bottom w:val="single" w:sz="4" w:space="0" w:color="auto"/>
              <w:right w:val="single" w:sz="4" w:space="0" w:color="auto"/>
            </w:tcBorders>
            <w:shd w:val="clear" w:color="000000" w:fill="FFFFFF"/>
            <w:noWrap/>
            <w:vAlign w:val="center"/>
            <w:hideMark/>
          </w:tcPr>
          <w:p w:rsidR="009649C7" w:rsidRPr="007A18DD" w:rsidRDefault="009649C7" w:rsidP="00F61572">
            <w:pPr>
              <w:spacing w:after="0" w:line="240" w:lineRule="auto"/>
              <w:rPr>
                <w:rFonts w:ascii="Calibri" w:eastAsia="Times New Roman" w:hAnsi="Calibri" w:cs="Calibri"/>
                <w:sz w:val="16"/>
                <w:szCs w:val="16"/>
              </w:rPr>
            </w:pPr>
            <w:r w:rsidRPr="007A18DD">
              <w:rPr>
                <w:rFonts w:ascii="Calibri" w:eastAsia="Times New Roman" w:hAnsi="Calibri" w:cs="Calibri"/>
                <w:sz w:val="16"/>
                <w:szCs w:val="16"/>
              </w:rPr>
              <w:t>Docenze a contratto - art. 23 L.240/2010</w:t>
            </w:r>
          </w:p>
        </w:tc>
        <w:tc>
          <w:tcPr>
            <w:tcW w:w="1520" w:type="dxa"/>
            <w:tcBorders>
              <w:top w:val="nil"/>
              <w:left w:val="nil"/>
              <w:bottom w:val="single" w:sz="4" w:space="0" w:color="auto"/>
              <w:right w:val="single" w:sz="4" w:space="0" w:color="auto"/>
            </w:tcBorders>
            <w:shd w:val="clear" w:color="000000" w:fill="FFFFFF"/>
            <w:noWrap/>
            <w:vAlign w:val="center"/>
            <w:hideMark/>
          </w:tcPr>
          <w:p w:rsidR="009649C7" w:rsidRPr="007A18DD" w:rsidRDefault="009649C7" w:rsidP="00F61572">
            <w:pPr>
              <w:spacing w:after="0" w:line="240" w:lineRule="auto"/>
              <w:jc w:val="center"/>
              <w:rPr>
                <w:rFonts w:ascii="Calibri" w:eastAsia="Times New Roman" w:hAnsi="Calibri" w:cs="Calibri"/>
                <w:sz w:val="16"/>
                <w:szCs w:val="16"/>
              </w:rPr>
            </w:pPr>
            <w:r w:rsidRPr="007A18DD">
              <w:rPr>
                <w:rFonts w:ascii="Calibri" w:eastAsia="Times New Roman" w:hAnsi="Calibri" w:cs="Calibri"/>
                <w:sz w:val="16"/>
                <w:szCs w:val="16"/>
              </w:rPr>
              <w:t>1.728.310,56</w:t>
            </w:r>
          </w:p>
        </w:tc>
        <w:tc>
          <w:tcPr>
            <w:tcW w:w="1440" w:type="dxa"/>
            <w:tcBorders>
              <w:top w:val="nil"/>
              <w:left w:val="nil"/>
              <w:bottom w:val="single" w:sz="4" w:space="0" w:color="auto"/>
              <w:right w:val="single" w:sz="4" w:space="0" w:color="auto"/>
            </w:tcBorders>
            <w:shd w:val="clear" w:color="000000" w:fill="FFFFFF"/>
            <w:noWrap/>
            <w:vAlign w:val="center"/>
            <w:hideMark/>
          </w:tcPr>
          <w:p w:rsidR="009649C7" w:rsidRPr="007A18DD" w:rsidRDefault="009649C7" w:rsidP="00F61572">
            <w:pPr>
              <w:spacing w:after="0" w:line="240" w:lineRule="auto"/>
              <w:jc w:val="center"/>
              <w:rPr>
                <w:rFonts w:ascii="Calibri" w:eastAsia="Times New Roman" w:hAnsi="Calibri" w:cs="Calibri"/>
                <w:sz w:val="16"/>
                <w:szCs w:val="16"/>
              </w:rPr>
            </w:pPr>
            <w:r w:rsidRPr="007A18DD">
              <w:rPr>
                <w:rFonts w:ascii="Calibri" w:eastAsia="Times New Roman" w:hAnsi="Calibri" w:cs="Calibri"/>
                <w:sz w:val="16"/>
                <w:szCs w:val="16"/>
              </w:rPr>
              <w:t>1.764.172,95</w:t>
            </w:r>
          </w:p>
        </w:tc>
        <w:tc>
          <w:tcPr>
            <w:tcW w:w="1140" w:type="dxa"/>
            <w:tcBorders>
              <w:top w:val="nil"/>
              <w:left w:val="nil"/>
              <w:bottom w:val="single" w:sz="4" w:space="0" w:color="auto"/>
              <w:right w:val="single" w:sz="4" w:space="0" w:color="auto"/>
            </w:tcBorders>
            <w:shd w:val="clear" w:color="000000" w:fill="FFFFFF"/>
            <w:noWrap/>
            <w:vAlign w:val="center"/>
            <w:hideMark/>
          </w:tcPr>
          <w:p w:rsidR="009649C7" w:rsidRPr="007A18DD" w:rsidRDefault="009649C7" w:rsidP="00F61572">
            <w:pPr>
              <w:spacing w:after="0" w:line="240" w:lineRule="auto"/>
              <w:jc w:val="center"/>
              <w:rPr>
                <w:rFonts w:ascii="Calibri" w:eastAsia="Times New Roman" w:hAnsi="Calibri" w:cs="Calibri"/>
                <w:sz w:val="16"/>
                <w:szCs w:val="16"/>
              </w:rPr>
            </w:pPr>
            <w:r w:rsidRPr="007A18DD">
              <w:rPr>
                <w:rFonts w:ascii="Calibri" w:eastAsia="Times New Roman" w:hAnsi="Calibri" w:cs="Calibri"/>
                <w:sz w:val="16"/>
                <w:szCs w:val="16"/>
              </w:rPr>
              <w:t>-2,03%</w:t>
            </w:r>
          </w:p>
        </w:tc>
      </w:tr>
      <w:tr w:rsidR="009649C7" w:rsidRPr="007A18DD" w:rsidTr="00F61572">
        <w:trPr>
          <w:trHeight w:val="462"/>
        </w:trPr>
        <w:tc>
          <w:tcPr>
            <w:tcW w:w="3820" w:type="dxa"/>
            <w:tcBorders>
              <w:top w:val="nil"/>
              <w:left w:val="single" w:sz="4" w:space="0" w:color="auto"/>
              <w:bottom w:val="single" w:sz="4" w:space="0" w:color="auto"/>
              <w:right w:val="single" w:sz="4" w:space="0" w:color="auto"/>
            </w:tcBorders>
            <w:shd w:val="clear" w:color="000000" w:fill="FFFFFF"/>
            <w:noWrap/>
            <w:vAlign w:val="center"/>
            <w:hideMark/>
          </w:tcPr>
          <w:p w:rsidR="009649C7" w:rsidRPr="007A18DD" w:rsidRDefault="009649C7" w:rsidP="00F61572">
            <w:pPr>
              <w:spacing w:after="0" w:line="240" w:lineRule="auto"/>
              <w:rPr>
                <w:rFonts w:ascii="Calibri" w:eastAsia="Times New Roman" w:hAnsi="Calibri" w:cs="Calibri"/>
                <w:sz w:val="16"/>
                <w:szCs w:val="16"/>
              </w:rPr>
            </w:pPr>
            <w:r w:rsidRPr="007A18DD">
              <w:rPr>
                <w:rFonts w:ascii="Calibri" w:eastAsia="Times New Roman" w:hAnsi="Calibri" w:cs="Calibri"/>
                <w:sz w:val="16"/>
                <w:szCs w:val="16"/>
              </w:rPr>
              <w:t>Affidamenti art. 38 Regolamento Generale d'Ateneo</w:t>
            </w:r>
          </w:p>
        </w:tc>
        <w:tc>
          <w:tcPr>
            <w:tcW w:w="1520" w:type="dxa"/>
            <w:tcBorders>
              <w:top w:val="nil"/>
              <w:left w:val="nil"/>
              <w:bottom w:val="single" w:sz="4" w:space="0" w:color="auto"/>
              <w:right w:val="single" w:sz="4" w:space="0" w:color="auto"/>
            </w:tcBorders>
            <w:shd w:val="clear" w:color="000000" w:fill="FFFFFF"/>
            <w:noWrap/>
            <w:vAlign w:val="center"/>
            <w:hideMark/>
          </w:tcPr>
          <w:p w:rsidR="009649C7" w:rsidRPr="007A18DD" w:rsidRDefault="009649C7" w:rsidP="00F61572">
            <w:pPr>
              <w:spacing w:after="0" w:line="240" w:lineRule="auto"/>
              <w:jc w:val="center"/>
              <w:rPr>
                <w:rFonts w:ascii="Calibri" w:eastAsia="Times New Roman" w:hAnsi="Calibri" w:cs="Calibri"/>
                <w:sz w:val="16"/>
                <w:szCs w:val="16"/>
              </w:rPr>
            </w:pPr>
            <w:r w:rsidRPr="007A18DD">
              <w:rPr>
                <w:rFonts w:ascii="Calibri" w:eastAsia="Times New Roman" w:hAnsi="Calibri" w:cs="Calibri"/>
                <w:sz w:val="16"/>
                <w:szCs w:val="16"/>
              </w:rPr>
              <w:t>1.579.084,08</w:t>
            </w:r>
          </w:p>
        </w:tc>
        <w:tc>
          <w:tcPr>
            <w:tcW w:w="1440" w:type="dxa"/>
            <w:tcBorders>
              <w:top w:val="nil"/>
              <w:left w:val="nil"/>
              <w:bottom w:val="single" w:sz="4" w:space="0" w:color="auto"/>
              <w:right w:val="single" w:sz="4" w:space="0" w:color="auto"/>
            </w:tcBorders>
            <w:shd w:val="clear" w:color="000000" w:fill="FFFFFF"/>
            <w:noWrap/>
            <w:vAlign w:val="center"/>
            <w:hideMark/>
          </w:tcPr>
          <w:p w:rsidR="009649C7" w:rsidRPr="007A18DD" w:rsidRDefault="009649C7" w:rsidP="00F61572">
            <w:pPr>
              <w:spacing w:after="0" w:line="240" w:lineRule="auto"/>
              <w:jc w:val="center"/>
              <w:rPr>
                <w:rFonts w:ascii="Calibri" w:eastAsia="Times New Roman" w:hAnsi="Calibri" w:cs="Calibri"/>
                <w:sz w:val="16"/>
                <w:szCs w:val="16"/>
              </w:rPr>
            </w:pPr>
            <w:r w:rsidRPr="007A18DD">
              <w:rPr>
                <w:rFonts w:ascii="Calibri" w:eastAsia="Times New Roman" w:hAnsi="Calibri" w:cs="Calibri"/>
                <w:sz w:val="16"/>
                <w:szCs w:val="16"/>
              </w:rPr>
              <w:t>2.145.916,96</w:t>
            </w:r>
          </w:p>
        </w:tc>
        <w:tc>
          <w:tcPr>
            <w:tcW w:w="1140" w:type="dxa"/>
            <w:tcBorders>
              <w:top w:val="nil"/>
              <w:left w:val="nil"/>
              <w:bottom w:val="single" w:sz="4" w:space="0" w:color="auto"/>
              <w:right w:val="single" w:sz="4" w:space="0" w:color="auto"/>
            </w:tcBorders>
            <w:shd w:val="clear" w:color="000000" w:fill="FFFFFF"/>
            <w:noWrap/>
            <w:vAlign w:val="center"/>
            <w:hideMark/>
          </w:tcPr>
          <w:p w:rsidR="009649C7" w:rsidRPr="007A18DD" w:rsidRDefault="009649C7" w:rsidP="00F61572">
            <w:pPr>
              <w:spacing w:after="0" w:line="240" w:lineRule="auto"/>
              <w:jc w:val="center"/>
              <w:rPr>
                <w:rFonts w:ascii="Calibri" w:eastAsia="Times New Roman" w:hAnsi="Calibri" w:cs="Calibri"/>
                <w:sz w:val="16"/>
                <w:szCs w:val="16"/>
              </w:rPr>
            </w:pPr>
            <w:r w:rsidRPr="007A18DD">
              <w:rPr>
                <w:rFonts w:ascii="Calibri" w:eastAsia="Times New Roman" w:hAnsi="Calibri" w:cs="Calibri"/>
                <w:sz w:val="16"/>
                <w:szCs w:val="16"/>
              </w:rPr>
              <w:t>-26,41%</w:t>
            </w:r>
          </w:p>
        </w:tc>
      </w:tr>
      <w:tr w:rsidR="009649C7" w:rsidRPr="007A18DD" w:rsidTr="00F61572">
        <w:trPr>
          <w:trHeight w:val="462"/>
        </w:trPr>
        <w:tc>
          <w:tcPr>
            <w:tcW w:w="3820" w:type="dxa"/>
            <w:tcBorders>
              <w:top w:val="nil"/>
              <w:left w:val="single" w:sz="4" w:space="0" w:color="auto"/>
              <w:bottom w:val="single" w:sz="4" w:space="0" w:color="auto"/>
              <w:right w:val="single" w:sz="4" w:space="0" w:color="auto"/>
            </w:tcBorders>
            <w:shd w:val="clear" w:color="000000" w:fill="9BC2E6"/>
            <w:noWrap/>
            <w:vAlign w:val="center"/>
            <w:hideMark/>
          </w:tcPr>
          <w:p w:rsidR="009649C7" w:rsidRPr="007A18DD" w:rsidRDefault="009649C7" w:rsidP="00F61572">
            <w:pPr>
              <w:spacing w:after="0" w:line="240" w:lineRule="auto"/>
              <w:rPr>
                <w:rFonts w:ascii="Calibri" w:eastAsia="Times New Roman" w:hAnsi="Calibri" w:cs="Calibri"/>
                <w:b/>
                <w:bCs/>
                <w:sz w:val="16"/>
                <w:szCs w:val="16"/>
              </w:rPr>
            </w:pPr>
            <w:r w:rsidRPr="007A18DD">
              <w:rPr>
                <w:rFonts w:ascii="Calibri" w:eastAsia="Times New Roman" w:hAnsi="Calibri" w:cs="Calibri"/>
                <w:b/>
                <w:bCs/>
                <w:sz w:val="16"/>
                <w:szCs w:val="16"/>
              </w:rPr>
              <w:t>TOTALE COSTO</w:t>
            </w:r>
          </w:p>
        </w:tc>
        <w:tc>
          <w:tcPr>
            <w:tcW w:w="1520" w:type="dxa"/>
            <w:tcBorders>
              <w:top w:val="nil"/>
              <w:left w:val="nil"/>
              <w:bottom w:val="single" w:sz="4" w:space="0" w:color="auto"/>
              <w:right w:val="single" w:sz="4" w:space="0" w:color="auto"/>
            </w:tcBorders>
            <w:shd w:val="clear" w:color="000000" w:fill="9BC2E6"/>
            <w:vAlign w:val="center"/>
            <w:hideMark/>
          </w:tcPr>
          <w:p w:rsidR="009649C7" w:rsidRPr="007A18DD" w:rsidRDefault="009649C7" w:rsidP="00F61572">
            <w:pPr>
              <w:spacing w:after="0" w:line="240" w:lineRule="auto"/>
              <w:jc w:val="center"/>
              <w:rPr>
                <w:rFonts w:ascii="Calibri" w:eastAsia="Times New Roman" w:hAnsi="Calibri" w:cs="Calibri"/>
                <w:b/>
                <w:bCs/>
                <w:sz w:val="16"/>
                <w:szCs w:val="16"/>
              </w:rPr>
            </w:pPr>
            <w:r w:rsidRPr="007A18DD">
              <w:rPr>
                <w:rFonts w:ascii="Calibri" w:eastAsia="Times New Roman" w:hAnsi="Calibri" w:cs="Calibri"/>
                <w:b/>
                <w:bCs/>
                <w:sz w:val="16"/>
                <w:szCs w:val="16"/>
              </w:rPr>
              <w:t>8.898.990,62</w:t>
            </w:r>
          </w:p>
        </w:tc>
        <w:tc>
          <w:tcPr>
            <w:tcW w:w="1440" w:type="dxa"/>
            <w:tcBorders>
              <w:top w:val="nil"/>
              <w:left w:val="nil"/>
              <w:bottom w:val="single" w:sz="4" w:space="0" w:color="auto"/>
              <w:right w:val="single" w:sz="4" w:space="0" w:color="auto"/>
            </w:tcBorders>
            <w:shd w:val="clear" w:color="000000" w:fill="9BC2E6"/>
            <w:vAlign w:val="center"/>
            <w:hideMark/>
          </w:tcPr>
          <w:p w:rsidR="009649C7" w:rsidRPr="007A18DD" w:rsidRDefault="009649C7" w:rsidP="00F61572">
            <w:pPr>
              <w:spacing w:after="0" w:line="240" w:lineRule="auto"/>
              <w:jc w:val="center"/>
              <w:rPr>
                <w:rFonts w:ascii="Calibri" w:eastAsia="Times New Roman" w:hAnsi="Calibri" w:cs="Calibri"/>
                <w:b/>
                <w:bCs/>
                <w:sz w:val="16"/>
                <w:szCs w:val="16"/>
              </w:rPr>
            </w:pPr>
            <w:r w:rsidRPr="007A18DD">
              <w:rPr>
                <w:rFonts w:ascii="Calibri" w:eastAsia="Times New Roman" w:hAnsi="Calibri" w:cs="Calibri"/>
                <w:b/>
                <w:bCs/>
                <w:sz w:val="16"/>
                <w:szCs w:val="16"/>
              </w:rPr>
              <w:t>11.325.959,24</w:t>
            </w:r>
          </w:p>
        </w:tc>
        <w:tc>
          <w:tcPr>
            <w:tcW w:w="1140" w:type="dxa"/>
            <w:tcBorders>
              <w:top w:val="nil"/>
              <w:left w:val="nil"/>
              <w:bottom w:val="single" w:sz="4" w:space="0" w:color="auto"/>
              <w:right w:val="single" w:sz="4" w:space="0" w:color="auto"/>
            </w:tcBorders>
            <w:shd w:val="clear" w:color="000000" w:fill="9BC2E6"/>
            <w:vAlign w:val="center"/>
            <w:hideMark/>
          </w:tcPr>
          <w:p w:rsidR="009649C7" w:rsidRPr="007A18DD" w:rsidRDefault="009649C7" w:rsidP="00F61572">
            <w:pPr>
              <w:spacing w:after="0" w:line="240" w:lineRule="auto"/>
              <w:jc w:val="center"/>
              <w:rPr>
                <w:rFonts w:ascii="Calibri" w:eastAsia="Times New Roman" w:hAnsi="Calibri" w:cs="Calibri"/>
                <w:b/>
                <w:bCs/>
                <w:sz w:val="16"/>
                <w:szCs w:val="16"/>
              </w:rPr>
            </w:pPr>
            <w:r w:rsidRPr="007A18DD">
              <w:rPr>
                <w:rFonts w:ascii="Calibri" w:eastAsia="Times New Roman" w:hAnsi="Calibri" w:cs="Calibri"/>
                <w:b/>
                <w:bCs/>
                <w:sz w:val="16"/>
                <w:szCs w:val="16"/>
              </w:rPr>
              <w:t>-21,43%</w:t>
            </w:r>
          </w:p>
        </w:tc>
      </w:tr>
    </w:tbl>
    <w:p w:rsidR="005A6D96" w:rsidRPr="009B6196" w:rsidRDefault="009649C7" w:rsidP="008249BA">
      <w:pPr>
        <w:spacing w:after="0" w:line="240" w:lineRule="auto"/>
        <w:jc w:val="both"/>
        <w:rPr>
          <w:rFonts w:asciiTheme="minorHAnsi" w:hAnsiTheme="minorHAnsi" w:cstheme="minorHAnsi"/>
          <w:sz w:val="22"/>
          <w:highlight w:val="yellow"/>
        </w:rPr>
      </w:pPr>
      <w:r>
        <w:rPr>
          <w:rFonts w:cstheme="minorHAnsi"/>
        </w:rPr>
        <w:fldChar w:fldCharType="end"/>
      </w:r>
    </w:p>
    <w:p w:rsidR="009649C7" w:rsidRPr="009649C7" w:rsidRDefault="00B92C47" w:rsidP="008249BA">
      <w:pPr>
        <w:spacing w:after="0" w:line="240" w:lineRule="auto"/>
        <w:jc w:val="both"/>
        <w:rPr>
          <w:szCs w:val="20"/>
        </w:rPr>
      </w:pPr>
      <w:r w:rsidRPr="009649C7">
        <w:rPr>
          <w:szCs w:val="20"/>
        </w:rPr>
        <w:t>Nel 2019 era n</w:t>
      </w:r>
      <w:r w:rsidR="009876EA" w:rsidRPr="009649C7">
        <w:rPr>
          <w:szCs w:val="20"/>
        </w:rPr>
        <w:t>otevole aument</w:t>
      </w:r>
      <w:r w:rsidRPr="009649C7">
        <w:rPr>
          <w:szCs w:val="20"/>
        </w:rPr>
        <w:t>ato i</w:t>
      </w:r>
      <w:r w:rsidR="009876EA" w:rsidRPr="009649C7">
        <w:rPr>
          <w:szCs w:val="20"/>
        </w:rPr>
        <w:t>l costo per incarichi per la didattica e ricerca (+1 milione, +45%).</w:t>
      </w:r>
      <w:r w:rsidR="00A43E7F" w:rsidRPr="009649C7">
        <w:rPr>
          <w:szCs w:val="20"/>
        </w:rPr>
        <w:t xml:space="preserve"> </w:t>
      </w:r>
      <w:r w:rsidR="009649C7" w:rsidRPr="009649C7">
        <w:rPr>
          <w:szCs w:val="20"/>
        </w:rPr>
        <w:t>Si tratta di</w:t>
      </w:r>
      <w:r w:rsidR="00A43E7F" w:rsidRPr="009649C7">
        <w:rPr>
          <w:szCs w:val="20"/>
        </w:rPr>
        <w:t xml:space="preserve"> spese assunte dai dipartimenti soprattutto su finanziamenti esterni.</w:t>
      </w:r>
      <w:r w:rsidR="00514BE6" w:rsidRPr="009649C7">
        <w:rPr>
          <w:szCs w:val="20"/>
        </w:rPr>
        <w:t xml:space="preserve"> </w:t>
      </w:r>
      <w:r w:rsidRPr="009649C7">
        <w:rPr>
          <w:szCs w:val="20"/>
        </w:rPr>
        <w:t xml:space="preserve">La spesa per il 2020 è rimasta costante. </w:t>
      </w:r>
    </w:p>
    <w:p w:rsidR="005A6D96" w:rsidRPr="009649C7" w:rsidRDefault="00B92C47" w:rsidP="008249BA">
      <w:pPr>
        <w:spacing w:after="0" w:line="240" w:lineRule="auto"/>
        <w:jc w:val="both"/>
        <w:rPr>
          <w:szCs w:val="20"/>
        </w:rPr>
      </w:pPr>
      <w:r w:rsidRPr="009649C7">
        <w:rPr>
          <w:szCs w:val="20"/>
        </w:rPr>
        <w:t xml:space="preserve">Sono decisamente calati invece gli incarichi per attività scientifiche/tecniche </w:t>
      </w:r>
      <w:r w:rsidRPr="009649C7">
        <w:rPr>
          <w:bCs/>
          <w:szCs w:val="20"/>
        </w:rPr>
        <w:t>per la riduzione delle attività in presenza nei dipartimenti.</w:t>
      </w:r>
    </w:p>
    <w:p w:rsidR="00C42FAE" w:rsidRPr="009B6196" w:rsidRDefault="00C42FAE" w:rsidP="008249BA">
      <w:pPr>
        <w:spacing w:after="0" w:line="240" w:lineRule="auto"/>
        <w:jc w:val="both"/>
        <w:rPr>
          <w:b/>
          <w:szCs w:val="20"/>
          <w:highlight w:val="yellow"/>
        </w:rPr>
      </w:pPr>
    </w:p>
    <w:p w:rsidR="009649C7" w:rsidRPr="009649C7" w:rsidRDefault="009271FA" w:rsidP="009649C7">
      <w:pPr>
        <w:spacing w:after="0" w:line="240" w:lineRule="auto"/>
        <w:jc w:val="both"/>
        <w:rPr>
          <w:b/>
          <w:szCs w:val="20"/>
        </w:rPr>
      </w:pPr>
      <w:r w:rsidRPr="009649C7">
        <w:rPr>
          <w:b/>
          <w:szCs w:val="20"/>
        </w:rPr>
        <w:t>H</w:t>
      </w:r>
      <w:r w:rsidR="00C42FAE" w:rsidRPr="009649C7">
        <w:rPr>
          <w:b/>
          <w:szCs w:val="20"/>
        </w:rPr>
        <w:t xml:space="preserve">) </w:t>
      </w:r>
      <w:r w:rsidR="00B949A6" w:rsidRPr="009649C7">
        <w:rPr>
          <w:b/>
          <w:szCs w:val="20"/>
        </w:rPr>
        <w:t>Altri costi del personale</w:t>
      </w:r>
      <w:r w:rsidR="00C42FAE" w:rsidRPr="009649C7">
        <w:rPr>
          <w:b/>
          <w:szCs w:val="20"/>
        </w:rPr>
        <w:t>:</w:t>
      </w:r>
      <w:r w:rsidR="009649C7" w:rsidRPr="009649C7">
        <w:fldChar w:fldCharType="begin"/>
      </w:r>
      <w:r w:rsidR="009649C7" w:rsidRPr="009649C7">
        <w:instrText xml:space="preserve"> LINK Excel.Sheet.12 "C:\\Users\\CANAVESEA\\Documents\\conto consuntivo 2020\\spesa personale_ind_verifica 2020_ac.xlsx" "al costi pers!R3C8:R12C11" \a \f 4 \h </w:instrText>
      </w:r>
      <w:r w:rsidR="009649C7">
        <w:instrText xml:space="preserve"> \* MERGEFORMAT </w:instrText>
      </w:r>
      <w:r w:rsidR="009649C7" w:rsidRPr="009649C7">
        <w:fldChar w:fldCharType="separate"/>
      </w:r>
    </w:p>
    <w:tbl>
      <w:tblPr>
        <w:tblW w:w="7320" w:type="dxa"/>
        <w:tblCellMar>
          <w:left w:w="70" w:type="dxa"/>
          <w:right w:w="70" w:type="dxa"/>
        </w:tblCellMar>
        <w:tblLook w:val="04A0" w:firstRow="1" w:lastRow="0" w:firstColumn="1" w:lastColumn="0" w:noHBand="0" w:noVBand="1"/>
      </w:tblPr>
      <w:tblGrid>
        <w:gridCol w:w="3280"/>
        <w:gridCol w:w="1320"/>
        <w:gridCol w:w="1480"/>
        <w:gridCol w:w="1240"/>
      </w:tblGrid>
      <w:tr w:rsidR="009649C7" w:rsidRPr="009649C7" w:rsidTr="00F61572">
        <w:trPr>
          <w:trHeight w:val="462"/>
        </w:trPr>
        <w:tc>
          <w:tcPr>
            <w:tcW w:w="3280" w:type="dxa"/>
            <w:tcBorders>
              <w:top w:val="single" w:sz="4" w:space="0" w:color="auto"/>
              <w:left w:val="single" w:sz="4" w:space="0" w:color="auto"/>
              <w:bottom w:val="single" w:sz="4" w:space="0" w:color="auto"/>
              <w:right w:val="single" w:sz="4" w:space="0" w:color="auto"/>
            </w:tcBorders>
            <w:shd w:val="clear" w:color="000000" w:fill="BDD7EE"/>
            <w:vAlign w:val="center"/>
            <w:hideMark/>
          </w:tcPr>
          <w:p w:rsidR="009649C7" w:rsidRPr="009649C7" w:rsidRDefault="009649C7" w:rsidP="00F61572">
            <w:pPr>
              <w:rPr>
                <w:rFonts w:ascii="Calibri" w:eastAsia="Times New Roman" w:hAnsi="Calibri" w:cs="Calibri"/>
                <w:b/>
                <w:bCs/>
                <w:sz w:val="16"/>
                <w:szCs w:val="16"/>
              </w:rPr>
            </w:pPr>
            <w:r w:rsidRPr="009649C7">
              <w:rPr>
                <w:rFonts w:ascii="Calibri" w:eastAsia="Times New Roman" w:hAnsi="Calibri" w:cs="Calibri"/>
                <w:b/>
                <w:bCs/>
                <w:sz w:val="16"/>
                <w:szCs w:val="16"/>
              </w:rPr>
              <w:t>Tipologia di costo</w:t>
            </w:r>
            <w:r>
              <w:rPr>
                <w:rFonts w:ascii="Calibri" w:eastAsia="Times New Roman" w:hAnsi="Calibri" w:cs="Calibri"/>
                <w:b/>
                <w:bCs/>
                <w:sz w:val="16"/>
                <w:szCs w:val="16"/>
              </w:rPr>
              <w:t xml:space="preserve"> </w:t>
            </w:r>
            <w:r w:rsidRPr="009649C7">
              <w:rPr>
                <w:rFonts w:ascii="Calibri" w:eastAsia="Times New Roman" w:hAnsi="Calibri" w:cs="Calibri"/>
                <w:b/>
                <w:bCs/>
                <w:sz w:val="16"/>
                <w:szCs w:val="16"/>
              </w:rPr>
              <w:t>(spesa sia per docenti che personale TAB)</w:t>
            </w:r>
          </w:p>
        </w:tc>
        <w:tc>
          <w:tcPr>
            <w:tcW w:w="1320" w:type="dxa"/>
            <w:tcBorders>
              <w:top w:val="single" w:sz="4" w:space="0" w:color="auto"/>
              <w:left w:val="nil"/>
              <w:bottom w:val="single" w:sz="4" w:space="0" w:color="auto"/>
              <w:right w:val="single" w:sz="4" w:space="0" w:color="auto"/>
            </w:tcBorders>
            <w:shd w:val="clear" w:color="000000" w:fill="BDD7EE"/>
            <w:vAlign w:val="center"/>
            <w:hideMark/>
          </w:tcPr>
          <w:p w:rsidR="009649C7" w:rsidRPr="009649C7" w:rsidRDefault="009649C7" w:rsidP="00F61572">
            <w:pPr>
              <w:spacing w:after="0" w:line="240" w:lineRule="auto"/>
              <w:jc w:val="center"/>
              <w:rPr>
                <w:rFonts w:ascii="Calibri" w:eastAsia="Times New Roman" w:hAnsi="Calibri" w:cs="Calibri"/>
                <w:b/>
                <w:bCs/>
                <w:sz w:val="16"/>
                <w:szCs w:val="16"/>
              </w:rPr>
            </w:pPr>
            <w:r w:rsidRPr="009649C7">
              <w:rPr>
                <w:rFonts w:ascii="Calibri" w:eastAsia="Times New Roman" w:hAnsi="Calibri" w:cs="Calibri"/>
                <w:b/>
                <w:bCs/>
                <w:sz w:val="16"/>
                <w:szCs w:val="16"/>
              </w:rPr>
              <w:t>Costo totale 2020</w:t>
            </w:r>
          </w:p>
        </w:tc>
        <w:tc>
          <w:tcPr>
            <w:tcW w:w="1480" w:type="dxa"/>
            <w:tcBorders>
              <w:top w:val="single" w:sz="4" w:space="0" w:color="auto"/>
              <w:left w:val="nil"/>
              <w:bottom w:val="single" w:sz="4" w:space="0" w:color="auto"/>
              <w:right w:val="single" w:sz="4" w:space="0" w:color="auto"/>
            </w:tcBorders>
            <w:shd w:val="clear" w:color="000000" w:fill="BDD7EE"/>
            <w:vAlign w:val="center"/>
            <w:hideMark/>
          </w:tcPr>
          <w:p w:rsidR="009649C7" w:rsidRPr="009649C7" w:rsidRDefault="009649C7" w:rsidP="00F61572">
            <w:pPr>
              <w:spacing w:after="0" w:line="240" w:lineRule="auto"/>
              <w:jc w:val="center"/>
              <w:rPr>
                <w:rFonts w:ascii="Calibri" w:eastAsia="Times New Roman" w:hAnsi="Calibri" w:cs="Calibri"/>
                <w:b/>
                <w:bCs/>
                <w:sz w:val="16"/>
                <w:szCs w:val="16"/>
              </w:rPr>
            </w:pPr>
            <w:r w:rsidRPr="009649C7">
              <w:rPr>
                <w:rFonts w:ascii="Calibri" w:eastAsia="Times New Roman" w:hAnsi="Calibri" w:cs="Calibri"/>
                <w:b/>
                <w:bCs/>
                <w:sz w:val="16"/>
                <w:szCs w:val="16"/>
              </w:rPr>
              <w:t>Costo totale 2019</w:t>
            </w:r>
          </w:p>
        </w:tc>
        <w:tc>
          <w:tcPr>
            <w:tcW w:w="1240" w:type="dxa"/>
            <w:tcBorders>
              <w:top w:val="single" w:sz="4" w:space="0" w:color="auto"/>
              <w:left w:val="nil"/>
              <w:bottom w:val="single" w:sz="4" w:space="0" w:color="auto"/>
              <w:right w:val="single" w:sz="4" w:space="0" w:color="auto"/>
            </w:tcBorders>
            <w:shd w:val="clear" w:color="000000" w:fill="BDD7EE"/>
            <w:noWrap/>
            <w:vAlign w:val="center"/>
            <w:hideMark/>
          </w:tcPr>
          <w:p w:rsidR="009649C7" w:rsidRPr="009649C7" w:rsidRDefault="009649C7" w:rsidP="00F61572">
            <w:pPr>
              <w:spacing w:after="0" w:line="240" w:lineRule="auto"/>
              <w:jc w:val="center"/>
              <w:rPr>
                <w:rFonts w:ascii="Calibri" w:eastAsia="Times New Roman" w:hAnsi="Calibri" w:cs="Calibri"/>
                <w:b/>
                <w:bCs/>
                <w:sz w:val="16"/>
                <w:szCs w:val="16"/>
              </w:rPr>
            </w:pPr>
            <w:r w:rsidRPr="009649C7">
              <w:rPr>
                <w:rFonts w:ascii="Calibri" w:eastAsia="Times New Roman" w:hAnsi="Calibri" w:cs="Calibri"/>
                <w:b/>
                <w:bCs/>
                <w:sz w:val="16"/>
                <w:szCs w:val="16"/>
              </w:rPr>
              <w:t>∆ 2020/2019</w:t>
            </w:r>
          </w:p>
        </w:tc>
      </w:tr>
      <w:tr w:rsidR="009649C7" w:rsidRPr="009649C7" w:rsidTr="00F61572">
        <w:trPr>
          <w:trHeight w:val="462"/>
        </w:trPr>
        <w:tc>
          <w:tcPr>
            <w:tcW w:w="3280" w:type="dxa"/>
            <w:tcBorders>
              <w:top w:val="nil"/>
              <w:left w:val="single" w:sz="4" w:space="0" w:color="auto"/>
              <w:bottom w:val="single" w:sz="4" w:space="0" w:color="auto"/>
              <w:right w:val="single" w:sz="4" w:space="0" w:color="auto"/>
            </w:tcBorders>
            <w:shd w:val="clear" w:color="000000" w:fill="FFFFFF"/>
            <w:vAlign w:val="center"/>
            <w:hideMark/>
          </w:tcPr>
          <w:p w:rsidR="009649C7" w:rsidRPr="009649C7" w:rsidRDefault="009649C7" w:rsidP="00F61572">
            <w:pPr>
              <w:spacing w:after="0" w:line="240" w:lineRule="auto"/>
              <w:rPr>
                <w:rFonts w:ascii="Calibri" w:eastAsia="Times New Roman" w:hAnsi="Calibri" w:cs="Calibri"/>
                <w:sz w:val="16"/>
                <w:szCs w:val="16"/>
              </w:rPr>
            </w:pPr>
            <w:r w:rsidRPr="009649C7">
              <w:rPr>
                <w:rFonts w:ascii="Calibri" w:eastAsia="Times New Roman" w:hAnsi="Calibri" w:cs="Calibri"/>
                <w:sz w:val="16"/>
                <w:szCs w:val="16"/>
              </w:rPr>
              <w:t>Attività di ricerca finanziata (conto terzi e convenzioni)</w:t>
            </w:r>
          </w:p>
        </w:tc>
        <w:tc>
          <w:tcPr>
            <w:tcW w:w="1320" w:type="dxa"/>
            <w:tcBorders>
              <w:top w:val="nil"/>
              <w:left w:val="nil"/>
              <w:bottom w:val="single" w:sz="4" w:space="0" w:color="auto"/>
              <w:right w:val="single" w:sz="4" w:space="0" w:color="auto"/>
            </w:tcBorders>
            <w:shd w:val="clear" w:color="000000" w:fill="FFFFFF"/>
            <w:noWrap/>
            <w:vAlign w:val="center"/>
            <w:hideMark/>
          </w:tcPr>
          <w:p w:rsidR="009649C7" w:rsidRPr="009649C7" w:rsidRDefault="009649C7" w:rsidP="00F61572">
            <w:pPr>
              <w:spacing w:after="0" w:line="240" w:lineRule="auto"/>
              <w:jc w:val="right"/>
              <w:rPr>
                <w:rFonts w:ascii="Calibri" w:eastAsia="Times New Roman" w:hAnsi="Calibri" w:cs="Calibri"/>
                <w:sz w:val="16"/>
                <w:szCs w:val="16"/>
              </w:rPr>
            </w:pPr>
            <w:r w:rsidRPr="009649C7">
              <w:rPr>
                <w:rFonts w:ascii="Calibri" w:eastAsia="Times New Roman" w:hAnsi="Calibri" w:cs="Calibri"/>
                <w:sz w:val="16"/>
                <w:szCs w:val="16"/>
              </w:rPr>
              <w:t>4.389.640,16</w:t>
            </w:r>
          </w:p>
        </w:tc>
        <w:tc>
          <w:tcPr>
            <w:tcW w:w="1480" w:type="dxa"/>
            <w:tcBorders>
              <w:top w:val="nil"/>
              <w:left w:val="nil"/>
              <w:bottom w:val="single" w:sz="4" w:space="0" w:color="auto"/>
              <w:right w:val="single" w:sz="4" w:space="0" w:color="auto"/>
            </w:tcBorders>
            <w:shd w:val="clear" w:color="000000" w:fill="FFFFFF"/>
            <w:noWrap/>
            <w:vAlign w:val="center"/>
            <w:hideMark/>
          </w:tcPr>
          <w:p w:rsidR="009649C7" w:rsidRPr="009649C7" w:rsidRDefault="009649C7" w:rsidP="00F61572">
            <w:pPr>
              <w:spacing w:after="0" w:line="240" w:lineRule="auto"/>
              <w:jc w:val="right"/>
              <w:rPr>
                <w:rFonts w:ascii="Calibri" w:eastAsia="Times New Roman" w:hAnsi="Calibri" w:cs="Calibri"/>
                <w:sz w:val="16"/>
                <w:szCs w:val="16"/>
              </w:rPr>
            </w:pPr>
            <w:r w:rsidRPr="009649C7">
              <w:rPr>
                <w:rFonts w:ascii="Calibri" w:eastAsia="Times New Roman" w:hAnsi="Calibri" w:cs="Calibri"/>
                <w:sz w:val="16"/>
                <w:szCs w:val="16"/>
              </w:rPr>
              <w:t>4.414.588,44</w:t>
            </w:r>
          </w:p>
        </w:tc>
        <w:tc>
          <w:tcPr>
            <w:tcW w:w="1240" w:type="dxa"/>
            <w:tcBorders>
              <w:top w:val="nil"/>
              <w:left w:val="nil"/>
              <w:bottom w:val="single" w:sz="4" w:space="0" w:color="auto"/>
              <w:right w:val="single" w:sz="4" w:space="0" w:color="auto"/>
            </w:tcBorders>
            <w:shd w:val="clear" w:color="000000" w:fill="FFFFFF"/>
            <w:noWrap/>
            <w:vAlign w:val="center"/>
            <w:hideMark/>
          </w:tcPr>
          <w:p w:rsidR="009649C7" w:rsidRPr="009649C7" w:rsidRDefault="009649C7" w:rsidP="00F61572">
            <w:pPr>
              <w:spacing w:after="0" w:line="240" w:lineRule="auto"/>
              <w:jc w:val="center"/>
              <w:rPr>
                <w:rFonts w:ascii="Calibri" w:eastAsia="Times New Roman" w:hAnsi="Calibri" w:cs="Calibri"/>
                <w:sz w:val="16"/>
                <w:szCs w:val="16"/>
              </w:rPr>
            </w:pPr>
            <w:r w:rsidRPr="009649C7">
              <w:rPr>
                <w:rFonts w:ascii="Calibri" w:eastAsia="Times New Roman" w:hAnsi="Calibri" w:cs="Calibri"/>
                <w:sz w:val="16"/>
                <w:szCs w:val="16"/>
              </w:rPr>
              <w:t>-0,57%</w:t>
            </w:r>
          </w:p>
        </w:tc>
      </w:tr>
      <w:tr w:rsidR="009649C7" w:rsidRPr="009649C7" w:rsidTr="00F61572">
        <w:trPr>
          <w:trHeight w:val="462"/>
        </w:trPr>
        <w:tc>
          <w:tcPr>
            <w:tcW w:w="3280" w:type="dxa"/>
            <w:tcBorders>
              <w:top w:val="nil"/>
              <w:left w:val="single" w:sz="4" w:space="0" w:color="auto"/>
              <w:bottom w:val="single" w:sz="4" w:space="0" w:color="auto"/>
              <w:right w:val="single" w:sz="4" w:space="0" w:color="auto"/>
            </w:tcBorders>
            <w:shd w:val="clear" w:color="000000" w:fill="FFFFFF"/>
            <w:vAlign w:val="center"/>
            <w:hideMark/>
          </w:tcPr>
          <w:p w:rsidR="009649C7" w:rsidRPr="009649C7" w:rsidRDefault="009649C7" w:rsidP="00F61572">
            <w:pPr>
              <w:spacing w:after="0" w:line="240" w:lineRule="auto"/>
              <w:rPr>
                <w:rFonts w:ascii="Calibri" w:eastAsia="Times New Roman" w:hAnsi="Calibri" w:cs="Calibri"/>
                <w:sz w:val="16"/>
                <w:szCs w:val="16"/>
              </w:rPr>
            </w:pPr>
            <w:r w:rsidRPr="009649C7">
              <w:rPr>
                <w:rFonts w:ascii="Calibri" w:eastAsia="Times New Roman" w:hAnsi="Calibri" w:cs="Calibri"/>
                <w:sz w:val="16"/>
                <w:szCs w:val="16"/>
              </w:rPr>
              <w:t>Commissioni di concorso</w:t>
            </w:r>
          </w:p>
        </w:tc>
        <w:tc>
          <w:tcPr>
            <w:tcW w:w="1320" w:type="dxa"/>
            <w:tcBorders>
              <w:top w:val="nil"/>
              <w:left w:val="nil"/>
              <w:bottom w:val="single" w:sz="4" w:space="0" w:color="auto"/>
              <w:right w:val="single" w:sz="4" w:space="0" w:color="auto"/>
            </w:tcBorders>
            <w:shd w:val="clear" w:color="000000" w:fill="FFFFFF"/>
            <w:noWrap/>
            <w:vAlign w:val="center"/>
            <w:hideMark/>
          </w:tcPr>
          <w:p w:rsidR="009649C7" w:rsidRPr="009649C7" w:rsidRDefault="009649C7" w:rsidP="00F61572">
            <w:pPr>
              <w:spacing w:after="0" w:line="240" w:lineRule="auto"/>
              <w:jc w:val="right"/>
              <w:rPr>
                <w:rFonts w:ascii="Calibri" w:eastAsia="Times New Roman" w:hAnsi="Calibri" w:cs="Calibri"/>
                <w:sz w:val="16"/>
                <w:szCs w:val="16"/>
              </w:rPr>
            </w:pPr>
            <w:r w:rsidRPr="009649C7">
              <w:rPr>
                <w:rFonts w:ascii="Calibri" w:eastAsia="Times New Roman" w:hAnsi="Calibri" w:cs="Calibri"/>
                <w:sz w:val="16"/>
                <w:szCs w:val="16"/>
              </w:rPr>
              <w:t>460.861,13</w:t>
            </w:r>
          </w:p>
        </w:tc>
        <w:tc>
          <w:tcPr>
            <w:tcW w:w="1480" w:type="dxa"/>
            <w:tcBorders>
              <w:top w:val="nil"/>
              <w:left w:val="nil"/>
              <w:bottom w:val="single" w:sz="4" w:space="0" w:color="auto"/>
              <w:right w:val="single" w:sz="4" w:space="0" w:color="auto"/>
            </w:tcBorders>
            <w:shd w:val="clear" w:color="000000" w:fill="FFFFFF"/>
            <w:noWrap/>
            <w:vAlign w:val="center"/>
            <w:hideMark/>
          </w:tcPr>
          <w:p w:rsidR="009649C7" w:rsidRPr="009649C7" w:rsidRDefault="009649C7" w:rsidP="00F61572">
            <w:pPr>
              <w:spacing w:after="0" w:line="240" w:lineRule="auto"/>
              <w:jc w:val="right"/>
              <w:rPr>
                <w:rFonts w:ascii="Calibri" w:eastAsia="Times New Roman" w:hAnsi="Calibri" w:cs="Calibri"/>
                <w:sz w:val="16"/>
                <w:szCs w:val="16"/>
              </w:rPr>
            </w:pPr>
            <w:r w:rsidRPr="009649C7">
              <w:rPr>
                <w:rFonts w:ascii="Calibri" w:eastAsia="Times New Roman" w:hAnsi="Calibri" w:cs="Calibri"/>
                <w:sz w:val="16"/>
                <w:szCs w:val="16"/>
              </w:rPr>
              <w:t>602.888,16</w:t>
            </w:r>
          </w:p>
        </w:tc>
        <w:tc>
          <w:tcPr>
            <w:tcW w:w="1240" w:type="dxa"/>
            <w:tcBorders>
              <w:top w:val="nil"/>
              <w:left w:val="nil"/>
              <w:bottom w:val="single" w:sz="4" w:space="0" w:color="auto"/>
              <w:right w:val="single" w:sz="4" w:space="0" w:color="auto"/>
            </w:tcBorders>
            <w:shd w:val="clear" w:color="000000" w:fill="FFFFFF"/>
            <w:noWrap/>
            <w:vAlign w:val="center"/>
            <w:hideMark/>
          </w:tcPr>
          <w:p w:rsidR="009649C7" w:rsidRPr="009649C7" w:rsidRDefault="009649C7" w:rsidP="00F61572">
            <w:pPr>
              <w:spacing w:after="0" w:line="240" w:lineRule="auto"/>
              <w:jc w:val="center"/>
              <w:rPr>
                <w:rFonts w:ascii="Calibri" w:eastAsia="Times New Roman" w:hAnsi="Calibri" w:cs="Calibri"/>
                <w:sz w:val="16"/>
                <w:szCs w:val="16"/>
              </w:rPr>
            </w:pPr>
            <w:r w:rsidRPr="009649C7">
              <w:rPr>
                <w:rFonts w:ascii="Calibri" w:eastAsia="Times New Roman" w:hAnsi="Calibri" w:cs="Calibri"/>
                <w:sz w:val="16"/>
                <w:szCs w:val="16"/>
              </w:rPr>
              <w:t>-23,56%</w:t>
            </w:r>
          </w:p>
        </w:tc>
      </w:tr>
      <w:tr w:rsidR="009649C7" w:rsidRPr="009649C7" w:rsidTr="00F61572">
        <w:trPr>
          <w:trHeight w:val="462"/>
        </w:trPr>
        <w:tc>
          <w:tcPr>
            <w:tcW w:w="3280" w:type="dxa"/>
            <w:tcBorders>
              <w:top w:val="nil"/>
              <w:left w:val="single" w:sz="4" w:space="0" w:color="auto"/>
              <w:bottom w:val="single" w:sz="4" w:space="0" w:color="auto"/>
              <w:right w:val="single" w:sz="4" w:space="0" w:color="auto"/>
            </w:tcBorders>
            <w:shd w:val="clear" w:color="000000" w:fill="FFFFFF"/>
            <w:vAlign w:val="center"/>
            <w:hideMark/>
          </w:tcPr>
          <w:p w:rsidR="009649C7" w:rsidRPr="009649C7" w:rsidRDefault="009649C7" w:rsidP="00F61572">
            <w:pPr>
              <w:spacing w:after="0" w:line="240" w:lineRule="auto"/>
              <w:rPr>
                <w:rFonts w:ascii="Calibri" w:eastAsia="Times New Roman" w:hAnsi="Calibri" w:cs="Calibri"/>
                <w:sz w:val="16"/>
                <w:szCs w:val="16"/>
              </w:rPr>
            </w:pPr>
            <w:r w:rsidRPr="009649C7">
              <w:rPr>
                <w:rFonts w:ascii="Calibri" w:eastAsia="Times New Roman" w:hAnsi="Calibri" w:cs="Calibri"/>
                <w:sz w:val="16"/>
                <w:szCs w:val="16"/>
              </w:rPr>
              <w:t>Funzionamento Organi collegiali/ind.art.66 dello Statuto</w:t>
            </w:r>
          </w:p>
        </w:tc>
        <w:tc>
          <w:tcPr>
            <w:tcW w:w="1320" w:type="dxa"/>
            <w:tcBorders>
              <w:top w:val="nil"/>
              <w:left w:val="nil"/>
              <w:bottom w:val="single" w:sz="4" w:space="0" w:color="auto"/>
              <w:right w:val="single" w:sz="4" w:space="0" w:color="auto"/>
            </w:tcBorders>
            <w:shd w:val="clear" w:color="000000" w:fill="FFFFFF"/>
            <w:noWrap/>
            <w:vAlign w:val="center"/>
            <w:hideMark/>
          </w:tcPr>
          <w:p w:rsidR="009649C7" w:rsidRPr="009649C7" w:rsidRDefault="009649C7" w:rsidP="00F61572">
            <w:pPr>
              <w:spacing w:after="0" w:line="240" w:lineRule="auto"/>
              <w:jc w:val="right"/>
              <w:rPr>
                <w:rFonts w:ascii="Calibri" w:eastAsia="Times New Roman" w:hAnsi="Calibri" w:cs="Calibri"/>
                <w:sz w:val="16"/>
                <w:szCs w:val="16"/>
              </w:rPr>
            </w:pPr>
            <w:r w:rsidRPr="009649C7">
              <w:rPr>
                <w:rFonts w:ascii="Calibri" w:eastAsia="Times New Roman" w:hAnsi="Calibri" w:cs="Calibri"/>
                <w:sz w:val="16"/>
                <w:szCs w:val="16"/>
              </w:rPr>
              <w:t>741.854,69</w:t>
            </w:r>
          </w:p>
        </w:tc>
        <w:tc>
          <w:tcPr>
            <w:tcW w:w="1480" w:type="dxa"/>
            <w:tcBorders>
              <w:top w:val="nil"/>
              <w:left w:val="nil"/>
              <w:bottom w:val="single" w:sz="4" w:space="0" w:color="auto"/>
              <w:right w:val="single" w:sz="4" w:space="0" w:color="auto"/>
            </w:tcBorders>
            <w:shd w:val="clear" w:color="000000" w:fill="FFFFFF"/>
            <w:noWrap/>
            <w:vAlign w:val="center"/>
            <w:hideMark/>
          </w:tcPr>
          <w:p w:rsidR="009649C7" w:rsidRPr="009649C7" w:rsidRDefault="009649C7" w:rsidP="00F61572">
            <w:pPr>
              <w:spacing w:after="0" w:line="240" w:lineRule="auto"/>
              <w:jc w:val="right"/>
              <w:rPr>
                <w:rFonts w:ascii="Calibri" w:eastAsia="Times New Roman" w:hAnsi="Calibri" w:cs="Calibri"/>
                <w:sz w:val="16"/>
                <w:szCs w:val="16"/>
              </w:rPr>
            </w:pPr>
            <w:r w:rsidRPr="009649C7">
              <w:rPr>
                <w:rFonts w:ascii="Calibri" w:eastAsia="Times New Roman" w:hAnsi="Calibri" w:cs="Calibri"/>
                <w:sz w:val="16"/>
                <w:szCs w:val="16"/>
              </w:rPr>
              <w:t>640.072,87</w:t>
            </w:r>
          </w:p>
        </w:tc>
        <w:tc>
          <w:tcPr>
            <w:tcW w:w="1240" w:type="dxa"/>
            <w:tcBorders>
              <w:top w:val="nil"/>
              <w:left w:val="nil"/>
              <w:bottom w:val="single" w:sz="4" w:space="0" w:color="auto"/>
              <w:right w:val="single" w:sz="4" w:space="0" w:color="auto"/>
            </w:tcBorders>
            <w:shd w:val="clear" w:color="000000" w:fill="FFFFFF"/>
            <w:noWrap/>
            <w:vAlign w:val="center"/>
            <w:hideMark/>
          </w:tcPr>
          <w:p w:rsidR="009649C7" w:rsidRPr="009649C7" w:rsidRDefault="009649C7" w:rsidP="00F61572">
            <w:pPr>
              <w:spacing w:after="0" w:line="240" w:lineRule="auto"/>
              <w:jc w:val="center"/>
              <w:rPr>
                <w:rFonts w:ascii="Calibri" w:eastAsia="Times New Roman" w:hAnsi="Calibri" w:cs="Calibri"/>
                <w:sz w:val="16"/>
                <w:szCs w:val="16"/>
              </w:rPr>
            </w:pPr>
            <w:r w:rsidRPr="009649C7">
              <w:rPr>
                <w:rFonts w:ascii="Calibri" w:eastAsia="Times New Roman" w:hAnsi="Calibri" w:cs="Calibri"/>
                <w:sz w:val="16"/>
                <w:szCs w:val="16"/>
              </w:rPr>
              <w:t>15,90%</w:t>
            </w:r>
          </w:p>
        </w:tc>
      </w:tr>
      <w:tr w:rsidR="009649C7" w:rsidRPr="009649C7" w:rsidTr="00F61572">
        <w:trPr>
          <w:trHeight w:val="462"/>
        </w:trPr>
        <w:tc>
          <w:tcPr>
            <w:tcW w:w="3280" w:type="dxa"/>
            <w:tcBorders>
              <w:top w:val="nil"/>
              <w:left w:val="single" w:sz="4" w:space="0" w:color="auto"/>
              <w:bottom w:val="single" w:sz="4" w:space="0" w:color="auto"/>
              <w:right w:val="single" w:sz="4" w:space="0" w:color="auto"/>
            </w:tcBorders>
            <w:shd w:val="clear" w:color="000000" w:fill="FFFFFF"/>
            <w:vAlign w:val="center"/>
            <w:hideMark/>
          </w:tcPr>
          <w:p w:rsidR="009649C7" w:rsidRPr="009649C7" w:rsidRDefault="009649C7" w:rsidP="00F61572">
            <w:pPr>
              <w:spacing w:after="0" w:line="240" w:lineRule="auto"/>
              <w:rPr>
                <w:rFonts w:ascii="Calibri" w:eastAsia="Times New Roman" w:hAnsi="Calibri" w:cs="Calibri"/>
                <w:sz w:val="16"/>
                <w:szCs w:val="16"/>
              </w:rPr>
            </w:pPr>
            <w:r w:rsidRPr="009649C7">
              <w:rPr>
                <w:rFonts w:ascii="Calibri" w:eastAsia="Times New Roman" w:hAnsi="Calibri" w:cs="Calibri"/>
                <w:sz w:val="16"/>
                <w:szCs w:val="16"/>
              </w:rPr>
              <w:t>Formazione personale universitario</w:t>
            </w:r>
          </w:p>
        </w:tc>
        <w:tc>
          <w:tcPr>
            <w:tcW w:w="1320" w:type="dxa"/>
            <w:tcBorders>
              <w:top w:val="nil"/>
              <w:left w:val="nil"/>
              <w:bottom w:val="single" w:sz="4" w:space="0" w:color="auto"/>
              <w:right w:val="single" w:sz="4" w:space="0" w:color="auto"/>
            </w:tcBorders>
            <w:shd w:val="clear" w:color="000000" w:fill="FFFFFF"/>
            <w:noWrap/>
            <w:vAlign w:val="center"/>
            <w:hideMark/>
          </w:tcPr>
          <w:p w:rsidR="009649C7" w:rsidRPr="009649C7" w:rsidRDefault="009649C7" w:rsidP="00F61572">
            <w:pPr>
              <w:spacing w:after="0" w:line="240" w:lineRule="auto"/>
              <w:jc w:val="right"/>
              <w:rPr>
                <w:rFonts w:ascii="Calibri" w:eastAsia="Times New Roman" w:hAnsi="Calibri" w:cs="Calibri"/>
                <w:sz w:val="16"/>
                <w:szCs w:val="16"/>
              </w:rPr>
            </w:pPr>
            <w:r w:rsidRPr="009649C7">
              <w:rPr>
                <w:rFonts w:ascii="Calibri" w:eastAsia="Times New Roman" w:hAnsi="Calibri" w:cs="Calibri"/>
                <w:sz w:val="16"/>
                <w:szCs w:val="16"/>
              </w:rPr>
              <w:t>276.685,86</w:t>
            </w:r>
          </w:p>
        </w:tc>
        <w:tc>
          <w:tcPr>
            <w:tcW w:w="1480" w:type="dxa"/>
            <w:tcBorders>
              <w:top w:val="nil"/>
              <w:left w:val="nil"/>
              <w:bottom w:val="single" w:sz="4" w:space="0" w:color="auto"/>
              <w:right w:val="single" w:sz="4" w:space="0" w:color="auto"/>
            </w:tcBorders>
            <w:shd w:val="clear" w:color="000000" w:fill="FFFFFF"/>
            <w:noWrap/>
            <w:vAlign w:val="center"/>
            <w:hideMark/>
          </w:tcPr>
          <w:p w:rsidR="009649C7" w:rsidRPr="009649C7" w:rsidRDefault="009649C7" w:rsidP="00F61572">
            <w:pPr>
              <w:spacing w:after="0" w:line="240" w:lineRule="auto"/>
              <w:jc w:val="right"/>
              <w:rPr>
                <w:rFonts w:ascii="Calibri" w:eastAsia="Times New Roman" w:hAnsi="Calibri" w:cs="Calibri"/>
                <w:sz w:val="16"/>
                <w:szCs w:val="16"/>
              </w:rPr>
            </w:pPr>
            <w:r w:rsidRPr="009649C7">
              <w:rPr>
                <w:rFonts w:ascii="Calibri" w:eastAsia="Times New Roman" w:hAnsi="Calibri" w:cs="Calibri"/>
                <w:sz w:val="16"/>
                <w:szCs w:val="16"/>
              </w:rPr>
              <w:t>365.480,76</w:t>
            </w:r>
          </w:p>
        </w:tc>
        <w:tc>
          <w:tcPr>
            <w:tcW w:w="1240" w:type="dxa"/>
            <w:tcBorders>
              <w:top w:val="nil"/>
              <w:left w:val="nil"/>
              <w:bottom w:val="single" w:sz="4" w:space="0" w:color="auto"/>
              <w:right w:val="single" w:sz="4" w:space="0" w:color="auto"/>
            </w:tcBorders>
            <w:shd w:val="clear" w:color="000000" w:fill="FFFFFF"/>
            <w:noWrap/>
            <w:vAlign w:val="center"/>
            <w:hideMark/>
          </w:tcPr>
          <w:p w:rsidR="009649C7" w:rsidRPr="009649C7" w:rsidRDefault="009649C7" w:rsidP="00F61572">
            <w:pPr>
              <w:spacing w:after="0" w:line="240" w:lineRule="auto"/>
              <w:jc w:val="center"/>
              <w:rPr>
                <w:rFonts w:ascii="Calibri" w:eastAsia="Times New Roman" w:hAnsi="Calibri" w:cs="Calibri"/>
                <w:sz w:val="16"/>
                <w:szCs w:val="16"/>
              </w:rPr>
            </w:pPr>
            <w:r w:rsidRPr="009649C7">
              <w:rPr>
                <w:rFonts w:ascii="Calibri" w:eastAsia="Times New Roman" w:hAnsi="Calibri" w:cs="Calibri"/>
                <w:sz w:val="16"/>
                <w:szCs w:val="16"/>
              </w:rPr>
              <w:t>-24,30%</w:t>
            </w:r>
          </w:p>
        </w:tc>
      </w:tr>
      <w:tr w:rsidR="009649C7" w:rsidRPr="009649C7" w:rsidTr="00F61572">
        <w:trPr>
          <w:trHeight w:val="462"/>
        </w:trPr>
        <w:tc>
          <w:tcPr>
            <w:tcW w:w="3280" w:type="dxa"/>
            <w:tcBorders>
              <w:top w:val="nil"/>
              <w:left w:val="single" w:sz="4" w:space="0" w:color="auto"/>
              <w:bottom w:val="single" w:sz="4" w:space="0" w:color="auto"/>
              <w:right w:val="single" w:sz="4" w:space="0" w:color="auto"/>
            </w:tcBorders>
            <w:shd w:val="clear" w:color="000000" w:fill="FFFFFF"/>
            <w:vAlign w:val="center"/>
            <w:hideMark/>
          </w:tcPr>
          <w:p w:rsidR="009649C7" w:rsidRPr="009649C7" w:rsidRDefault="009649C7" w:rsidP="00F61572">
            <w:pPr>
              <w:spacing w:after="0" w:line="240" w:lineRule="auto"/>
              <w:rPr>
                <w:rFonts w:ascii="Calibri" w:eastAsia="Times New Roman" w:hAnsi="Calibri" w:cs="Calibri"/>
                <w:sz w:val="16"/>
                <w:szCs w:val="16"/>
              </w:rPr>
            </w:pPr>
            <w:r w:rsidRPr="009649C7">
              <w:rPr>
                <w:rFonts w:ascii="Calibri" w:eastAsia="Times New Roman" w:hAnsi="Calibri" w:cs="Calibri"/>
                <w:sz w:val="16"/>
                <w:szCs w:val="16"/>
              </w:rPr>
              <w:t>Sussidi al personale universitario</w:t>
            </w:r>
          </w:p>
        </w:tc>
        <w:tc>
          <w:tcPr>
            <w:tcW w:w="1320" w:type="dxa"/>
            <w:tcBorders>
              <w:top w:val="nil"/>
              <w:left w:val="nil"/>
              <w:bottom w:val="single" w:sz="4" w:space="0" w:color="auto"/>
              <w:right w:val="single" w:sz="4" w:space="0" w:color="auto"/>
            </w:tcBorders>
            <w:shd w:val="clear" w:color="000000" w:fill="FFFFFF"/>
            <w:noWrap/>
            <w:vAlign w:val="center"/>
            <w:hideMark/>
          </w:tcPr>
          <w:p w:rsidR="009649C7" w:rsidRPr="009649C7" w:rsidRDefault="009649C7" w:rsidP="00F61572">
            <w:pPr>
              <w:spacing w:after="0" w:line="240" w:lineRule="auto"/>
              <w:jc w:val="right"/>
              <w:rPr>
                <w:rFonts w:ascii="Calibri" w:eastAsia="Times New Roman" w:hAnsi="Calibri" w:cs="Calibri"/>
                <w:sz w:val="16"/>
                <w:szCs w:val="16"/>
              </w:rPr>
            </w:pPr>
            <w:r w:rsidRPr="009649C7">
              <w:rPr>
                <w:rFonts w:ascii="Calibri" w:eastAsia="Times New Roman" w:hAnsi="Calibri" w:cs="Calibri"/>
                <w:sz w:val="16"/>
                <w:szCs w:val="16"/>
              </w:rPr>
              <w:t>30.099,00</w:t>
            </w:r>
          </w:p>
        </w:tc>
        <w:tc>
          <w:tcPr>
            <w:tcW w:w="1480" w:type="dxa"/>
            <w:tcBorders>
              <w:top w:val="nil"/>
              <w:left w:val="nil"/>
              <w:bottom w:val="single" w:sz="4" w:space="0" w:color="auto"/>
              <w:right w:val="single" w:sz="4" w:space="0" w:color="auto"/>
            </w:tcBorders>
            <w:shd w:val="clear" w:color="000000" w:fill="FFFFFF"/>
            <w:noWrap/>
            <w:vAlign w:val="center"/>
            <w:hideMark/>
          </w:tcPr>
          <w:p w:rsidR="009649C7" w:rsidRPr="009649C7" w:rsidRDefault="009649C7" w:rsidP="00F61572">
            <w:pPr>
              <w:spacing w:after="0" w:line="240" w:lineRule="auto"/>
              <w:jc w:val="right"/>
              <w:rPr>
                <w:rFonts w:ascii="Calibri" w:eastAsia="Times New Roman" w:hAnsi="Calibri" w:cs="Calibri"/>
                <w:sz w:val="16"/>
                <w:szCs w:val="16"/>
              </w:rPr>
            </w:pPr>
            <w:r w:rsidRPr="009649C7">
              <w:rPr>
                <w:rFonts w:ascii="Calibri" w:eastAsia="Times New Roman" w:hAnsi="Calibri" w:cs="Calibri"/>
                <w:sz w:val="16"/>
                <w:szCs w:val="16"/>
              </w:rPr>
              <w:t>18.954,91</w:t>
            </w:r>
          </w:p>
        </w:tc>
        <w:tc>
          <w:tcPr>
            <w:tcW w:w="1240" w:type="dxa"/>
            <w:tcBorders>
              <w:top w:val="nil"/>
              <w:left w:val="nil"/>
              <w:bottom w:val="single" w:sz="4" w:space="0" w:color="auto"/>
              <w:right w:val="single" w:sz="4" w:space="0" w:color="auto"/>
            </w:tcBorders>
            <w:shd w:val="clear" w:color="000000" w:fill="FFFFFF"/>
            <w:noWrap/>
            <w:vAlign w:val="center"/>
            <w:hideMark/>
          </w:tcPr>
          <w:p w:rsidR="009649C7" w:rsidRPr="009649C7" w:rsidRDefault="009649C7" w:rsidP="00F61572">
            <w:pPr>
              <w:spacing w:after="0" w:line="240" w:lineRule="auto"/>
              <w:jc w:val="center"/>
              <w:rPr>
                <w:rFonts w:ascii="Calibri" w:eastAsia="Times New Roman" w:hAnsi="Calibri" w:cs="Calibri"/>
                <w:sz w:val="16"/>
                <w:szCs w:val="16"/>
              </w:rPr>
            </w:pPr>
            <w:r w:rsidRPr="009649C7">
              <w:rPr>
                <w:rFonts w:ascii="Calibri" w:eastAsia="Times New Roman" w:hAnsi="Calibri" w:cs="Calibri"/>
                <w:sz w:val="16"/>
                <w:szCs w:val="16"/>
              </w:rPr>
              <w:t>58,79%</w:t>
            </w:r>
          </w:p>
        </w:tc>
      </w:tr>
      <w:tr w:rsidR="009649C7" w:rsidRPr="009649C7" w:rsidTr="00F61572">
        <w:trPr>
          <w:trHeight w:val="462"/>
        </w:trPr>
        <w:tc>
          <w:tcPr>
            <w:tcW w:w="3280" w:type="dxa"/>
            <w:tcBorders>
              <w:top w:val="nil"/>
              <w:left w:val="single" w:sz="4" w:space="0" w:color="auto"/>
              <w:bottom w:val="single" w:sz="4" w:space="0" w:color="auto"/>
              <w:right w:val="single" w:sz="4" w:space="0" w:color="auto"/>
            </w:tcBorders>
            <w:shd w:val="clear" w:color="000000" w:fill="FFFFFF"/>
            <w:noWrap/>
            <w:vAlign w:val="center"/>
            <w:hideMark/>
          </w:tcPr>
          <w:p w:rsidR="009649C7" w:rsidRPr="009649C7" w:rsidRDefault="009649C7" w:rsidP="00F61572">
            <w:pPr>
              <w:spacing w:after="0" w:line="240" w:lineRule="auto"/>
              <w:rPr>
                <w:rFonts w:ascii="Calibri" w:eastAsia="Times New Roman" w:hAnsi="Calibri" w:cs="Calibri"/>
                <w:sz w:val="16"/>
                <w:szCs w:val="16"/>
              </w:rPr>
            </w:pPr>
            <w:r w:rsidRPr="009649C7">
              <w:rPr>
                <w:rFonts w:ascii="Calibri" w:eastAsia="Times New Roman" w:hAnsi="Calibri" w:cs="Calibri"/>
                <w:sz w:val="16"/>
                <w:szCs w:val="16"/>
              </w:rPr>
              <w:t>Welfare</w:t>
            </w:r>
          </w:p>
        </w:tc>
        <w:tc>
          <w:tcPr>
            <w:tcW w:w="1320" w:type="dxa"/>
            <w:tcBorders>
              <w:top w:val="nil"/>
              <w:left w:val="nil"/>
              <w:bottom w:val="single" w:sz="4" w:space="0" w:color="auto"/>
              <w:right w:val="single" w:sz="4" w:space="0" w:color="auto"/>
            </w:tcBorders>
            <w:shd w:val="clear" w:color="000000" w:fill="FFFFFF"/>
            <w:noWrap/>
            <w:vAlign w:val="center"/>
            <w:hideMark/>
          </w:tcPr>
          <w:p w:rsidR="009649C7" w:rsidRPr="009649C7" w:rsidRDefault="009649C7" w:rsidP="00F61572">
            <w:pPr>
              <w:spacing w:after="0" w:line="240" w:lineRule="auto"/>
              <w:jc w:val="right"/>
              <w:rPr>
                <w:rFonts w:ascii="Calibri" w:eastAsia="Times New Roman" w:hAnsi="Calibri" w:cs="Calibri"/>
                <w:sz w:val="16"/>
                <w:szCs w:val="16"/>
              </w:rPr>
            </w:pPr>
            <w:r w:rsidRPr="009649C7">
              <w:rPr>
                <w:rFonts w:ascii="Calibri" w:eastAsia="Times New Roman" w:hAnsi="Calibri" w:cs="Calibri"/>
                <w:sz w:val="16"/>
                <w:szCs w:val="16"/>
              </w:rPr>
              <w:t>1.881.023,18</w:t>
            </w:r>
          </w:p>
        </w:tc>
        <w:tc>
          <w:tcPr>
            <w:tcW w:w="1480" w:type="dxa"/>
            <w:tcBorders>
              <w:top w:val="nil"/>
              <w:left w:val="nil"/>
              <w:bottom w:val="single" w:sz="4" w:space="0" w:color="auto"/>
              <w:right w:val="single" w:sz="4" w:space="0" w:color="auto"/>
            </w:tcBorders>
            <w:shd w:val="clear" w:color="000000" w:fill="FFFFFF"/>
            <w:noWrap/>
            <w:vAlign w:val="center"/>
            <w:hideMark/>
          </w:tcPr>
          <w:p w:rsidR="009649C7" w:rsidRPr="009649C7" w:rsidRDefault="009649C7" w:rsidP="00F61572">
            <w:pPr>
              <w:spacing w:after="0" w:line="240" w:lineRule="auto"/>
              <w:jc w:val="right"/>
              <w:rPr>
                <w:rFonts w:ascii="Calibri" w:eastAsia="Times New Roman" w:hAnsi="Calibri" w:cs="Calibri"/>
                <w:sz w:val="16"/>
                <w:szCs w:val="16"/>
              </w:rPr>
            </w:pPr>
            <w:r w:rsidRPr="009649C7">
              <w:rPr>
                <w:rFonts w:ascii="Calibri" w:eastAsia="Times New Roman" w:hAnsi="Calibri" w:cs="Calibri"/>
                <w:sz w:val="16"/>
                <w:szCs w:val="16"/>
              </w:rPr>
              <w:t>1.555.779,60</w:t>
            </w:r>
          </w:p>
        </w:tc>
        <w:tc>
          <w:tcPr>
            <w:tcW w:w="1240" w:type="dxa"/>
            <w:tcBorders>
              <w:top w:val="nil"/>
              <w:left w:val="nil"/>
              <w:bottom w:val="single" w:sz="4" w:space="0" w:color="auto"/>
              <w:right w:val="single" w:sz="4" w:space="0" w:color="auto"/>
            </w:tcBorders>
            <w:shd w:val="clear" w:color="000000" w:fill="FFFFFF"/>
            <w:noWrap/>
            <w:vAlign w:val="center"/>
            <w:hideMark/>
          </w:tcPr>
          <w:p w:rsidR="009649C7" w:rsidRPr="009649C7" w:rsidRDefault="009649C7" w:rsidP="00F61572">
            <w:pPr>
              <w:spacing w:after="0" w:line="240" w:lineRule="auto"/>
              <w:jc w:val="center"/>
              <w:rPr>
                <w:rFonts w:ascii="Calibri" w:eastAsia="Times New Roman" w:hAnsi="Calibri" w:cs="Calibri"/>
                <w:sz w:val="16"/>
                <w:szCs w:val="16"/>
              </w:rPr>
            </w:pPr>
            <w:r w:rsidRPr="009649C7">
              <w:rPr>
                <w:rFonts w:ascii="Calibri" w:eastAsia="Times New Roman" w:hAnsi="Calibri" w:cs="Calibri"/>
                <w:sz w:val="16"/>
                <w:szCs w:val="16"/>
              </w:rPr>
              <w:t>20,91%</w:t>
            </w:r>
          </w:p>
        </w:tc>
      </w:tr>
      <w:tr w:rsidR="009649C7" w:rsidRPr="009649C7" w:rsidTr="00F61572">
        <w:trPr>
          <w:trHeight w:val="462"/>
        </w:trPr>
        <w:tc>
          <w:tcPr>
            <w:tcW w:w="3280" w:type="dxa"/>
            <w:tcBorders>
              <w:top w:val="nil"/>
              <w:left w:val="single" w:sz="4" w:space="0" w:color="auto"/>
              <w:bottom w:val="single" w:sz="4" w:space="0" w:color="auto"/>
              <w:right w:val="single" w:sz="4" w:space="0" w:color="auto"/>
            </w:tcBorders>
            <w:shd w:val="clear" w:color="000000" w:fill="FFFFFF"/>
            <w:noWrap/>
            <w:vAlign w:val="center"/>
            <w:hideMark/>
          </w:tcPr>
          <w:p w:rsidR="009649C7" w:rsidRPr="009649C7" w:rsidRDefault="009649C7" w:rsidP="00F61572">
            <w:pPr>
              <w:spacing w:after="0" w:line="240" w:lineRule="auto"/>
              <w:rPr>
                <w:rFonts w:ascii="Calibri" w:eastAsia="Times New Roman" w:hAnsi="Calibri" w:cs="Calibri"/>
                <w:sz w:val="16"/>
                <w:szCs w:val="16"/>
              </w:rPr>
            </w:pPr>
            <w:r w:rsidRPr="009649C7">
              <w:rPr>
                <w:rFonts w:ascii="Calibri" w:eastAsia="Times New Roman" w:hAnsi="Calibri" w:cs="Calibri"/>
                <w:sz w:val="16"/>
                <w:szCs w:val="16"/>
              </w:rPr>
              <w:t>Vestiario</w:t>
            </w:r>
          </w:p>
        </w:tc>
        <w:tc>
          <w:tcPr>
            <w:tcW w:w="1320" w:type="dxa"/>
            <w:tcBorders>
              <w:top w:val="nil"/>
              <w:left w:val="nil"/>
              <w:bottom w:val="single" w:sz="4" w:space="0" w:color="auto"/>
              <w:right w:val="single" w:sz="4" w:space="0" w:color="auto"/>
            </w:tcBorders>
            <w:shd w:val="clear" w:color="000000" w:fill="FFFFFF"/>
            <w:noWrap/>
            <w:vAlign w:val="center"/>
            <w:hideMark/>
          </w:tcPr>
          <w:p w:rsidR="009649C7" w:rsidRPr="009649C7" w:rsidRDefault="009649C7" w:rsidP="00F61572">
            <w:pPr>
              <w:spacing w:after="0" w:line="240" w:lineRule="auto"/>
              <w:jc w:val="right"/>
              <w:rPr>
                <w:rFonts w:ascii="Calibri" w:eastAsia="Times New Roman" w:hAnsi="Calibri" w:cs="Calibri"/>
                <w:sz w:val="16"/>
                <w:szCs w:val="16"/>
              </w:rPr>
            </w:pPr>
            <w:r w:rsidRPr="009649C7">
              <w:rPr>
                <w:rFonts w:ascii="Calibri" w:eastAsia="Times New Roman" w:hAnsi="Calibri" w:cs="Calibri"/>
                <w:sz w:val="16"/>
                <w:szCs w:val="16"/>
              </w:rPr>
              <w:t>9.343,75</w:t>
            </w:r>
          </w:p>
        </w:tc>
        <w:tc>
          <w:tcPr>
            <w:tcW w:w="1480" w:type="dxa"/>
            <w:tcBorders>
              <w:top w:val="nil"/>
              <w:left w:val="nil"/>
              <w:bottom w:val="single" w:sz="4" w:space="0" w:color="auto"/>
              <w:right w:val="single" w:sz="4" w:space="0" w:color="auto"/>
            </w:tcBorders>
            <w:shd w:val="clear" w:color="000000" w:fill="FFFFFF"/>
            <w:noWrap/>
            <w:vAlign w:val="center"/>
            <w:hideMark/>
          </w:tcPr>
          <w:p w:rsidR="009649C7" w:rsidRPr="009649C7" w:rsidRDefault="009649C7" w:rsidP="00F61572">
            <w:pPr>
              <w:spacing w:after="0" w:line="240" w:lineRule="auto"/>
              <w:jc w:val="right"/>
              <w:rPr>
                <w:rFonts w:ascii="Calibri" w:eastAsia="Times New Roman" w:hAnsi="Calibri" w:cs="Calibri"/>
                <w:sz w:val="16"/>
                <w:szCs w:val="16"/>
              </w:rPr>
            </w:pPr>
            <w:r w:rsidRPr="009649C7">
              <w:rPr>
                <w:rFonts w:ascii="Calibri" w:eastAsia="Times New Roman" w:hAnsi="Calibri" w:cs="Calibri"/>
                <w:sz w:val="16"/>
                <w:szCs w:val="16"/>
              </w:rPr>
              <w:t>20.504,85</w:t>
            </w:r>
          </w:p>
        </w:tc>
        <w:tc>
          <w:tcPr>
            <w:tcW w:w="1240" w:type="dxa"/>
            <w:tcBorders>
              <w:top w:val="nil"/>
              <w:left w:val="nil"/>
              <w:bottom w:val="single" w:sz="4" w:space="0" w:color="auto"/>
              <w:right w:val="single" w:sz="4" w:space="0" w:color="auto"/>
            </w:tcBorders>
            <w:shd w:val="clear" w:color="000000" w:fill="FFFFFF"/>
            <w:noWrap/>
            <w:vAlign w:val="center"/>
            <w:hideMark/>
          </w:tcPr>
          <w:p w:rsidR="009649C7" w:rsidRPr="009649C7" w:rsidRDefault="009649C7" w:rsidP="00F61572">
            <w:pPr>
              <w:spacing w:after="0" w:line="240" w:lineRule="auto"/>
              <w:jc w:val="center"/>
              <w:rPr>
                <w:rFonts w:ascii="Calibri" w:eastAsia="Times New Roman" w:hAnsi="Calibri" w:cs="Calibri"/>
                <w:sz w:val="16"/>
                <w:szCs w:val="16"/>
              </w:rPr>
            </w:pPr>
            <w:r w:rsidRPr="009649C7">
              <w:rPr>
                <w:rFonts w:ascii="Calibri" w:eastAsia="Times New Roman" w:hAnsi="Calibri" w:cs="Calibri"/>
                <w:sz w:val="16"/>
                <w:szCs w:val="16"/>
              </w:rPr>
              <w:t>-54,43%</w:t>
            </w:r>
          </w:p>
        </w:tc>
      </w:tr>
      <w:tr w:rsidR="009649C7" w:rsidRPr="009649C7" w:rsidTr="00F61572">
        <w:trPr>
          <w:trHeight w:val="462"/>
        </w:trPr>
        <w:tc>
          <w:tcPr>
            <w:tcW w:w="3280" w:type="dxa"/>
            <w:tcBorders>
              <w:top w:val="nil"/>
              <w:left w:val="single" w:sz="4" w:space="0" w:color="auto"/>
              <w:bottom w:val="single" w:sz="4" w:space="0" w:color="auto"/>
              <w:right w:val="single" w:sz="4" w:space="0" w:color="auto"/>
            </w:tcBorders>
            <w:shd w:val="clear" w:color="000000" w:fill="FFFFFF"/>
            <w:noWrap/>
            <w:vAlign w:val="center"/>
            <w:hideMark/>
          </w:tcPr>
          <w:p w:rsidR="009649C7" w:rsidRPr="009649C7" w:rsidRDefault="009649C7" w:rsidP="00F61572">
            <w:pPr>
              <w:spacing w:after="0" w:line="240" w:lineRule="auto"/>
              <w:rPr>
                <w:rFonts w:ascii="Calibri" w:eastAsia="Times New Roman" w:hAnsi="Calibri" w:cs="Calibri"/>
                <w:sz w:val="16"/>
                <w:szCs w:val="16"/>
              </w:rPr>
            </w:pPr>
            <w:r w:rsidRPr="009649C7">
              <w:rPr>
                <w:rFonts w:ascii="Calibri" w:eastAsia="Times New Roman" w:hAnsi="Calibri" w:cs="Calibri"/>
                <w:sz w:val="16"/>
                <w:szCs w:val="16"/>
              </w:rPr>
              <w:t xml:space="preserve">Ticket e buoni mensa </w:t>
            </w:r>
          </w:p>
        </w:tc>
        <w:tc>
          <w:tcPr>
            <w:tcW w:w="1320" w:type="dxa"/>
            <w:tcBorders>
              <w:top w:val="nil"/>
              <w:left w:val="nil"/>
              <w:bottom w:val="single" w:sz="4" w:space="0" w:color="auto"/>
              <w:right w:val="single" w:sz="4" w:space="0" w:color="auto"/>
            </w:tcBorders>
            <w:shd w:val="clear" w:color="000000" w:fill="FFFFFF"/>
            <w:noWrap/>
            <w:vAlign w:val="center"/>
            <w:hideMark/>
          </w:tcPr>
          <w:p w:rsidR="009649C7" w:rsidRPr="009649C7" w:rsidRDefault="009649C7" w:rsidP="00F61572">
            <w:pPr>
              <w:spacing w:after="0" w:line="240" w:lineRule="auto"/>
              <w:jc w:val="right"/>
              <w:rPr>
                <w:rFonts w:ascii="Calibri" w:eastAsia="Times New Roman" w:hAnsi="Calibri" w:cs="Calibri"/>
                <w:sz w:val="16"/>
                <w:szCs w:val="16"/>
              </w:rPr>
            </w:pPr>
            <w:r w:rsidRPr="009649C7">
              <w:rPr>
                <w:rFonts w:ascii="Calibri" w:eastAsia="Times New Roman" w:hAnsi="Calibri" w:cs="Calibri"/>
                <w:sz w:val="16"/>
                <w:szCs w:val="16"/>
              </w:rPr>
              <w:t>1.974.025,15</w:t>
            </w:r>
          </w:p>
        </w:tc>
        <w:tc>
          <w:tcPr>
            <w:tcW w:w="1480" w:type="dxa"/>
            <w:tcBorders>
              <w:top w:val="nil"/>
              <w:left w:val="nil"/>
              <w:bottom w:val="single" w:sz="4" w:space="0" w:color="auto"/>
              <w:right w:val="single" w:sz="4" w:space="0" w:color="auto"/>
            </w:tcBorders>
            <w:shd w:val="clear" w:color="000000" w:fill="FFFFFF"/>
            <w:noWrap/>
            <w:vAlign w:val="center"/>
            <w:hideMark/>
          </w:tcPr>
          <w:p w:rsidR="009649C7" w:rsidRPr="009649C7" w:rsidRDefault="009649C7" w:rsidP="00F61572">
            <w:pPr>
              <w:spacing w:after="0" w:line="240" w:lineRule="auto"/>
              <w:jc w:val="right"/>
              <w:rPr>
                <w:rFonts w:ascii="Calibri" w:eastAsia="Times New Roman" w:hAnsi="Calibri" w:cs="Calibri"/>
                <w:sz w:val="16"/>
                <w:szCs w:val="16"/>
              </w:rPr>
            </w:pPr>
            <w:r w:rsidRPr="009649C7">
              <w:rPr>
                <w:rFonts w:ascii="Calibri" w:eastAsia="Times New Roman" w:hAnsi="Calibri" w:cs="Calibri"/>
                <w:sz w:val="16"/>
                <w:szCs w:val="16"/>
              </w:rPr>
              <w:t>1.917.195,58</w:t>
            </w:r>
          </w:p>
        </w:tc>
        <w:tc>
          <w:tcPr>
            <w:tcW w:w="1240" w:type="dxa"/>
            <w:tcBorders>
              <w:top w:val="nil"/>
              <w:left w:val="nil"/>
              <w:bottom w:val="single" w:sz="4" w:space="0" w:color="auto"/>
              <w:right w:val="single" w:sz="4" w:space="0" w:color="auto"/>
            </w:tcBorders>
            <w:shd w:val="clear" w:color="000000" w:fill="FFFFFF"/>
            <w:noWrap/>
            <w:vAlign w:val="center"/>
            <w:hideMark/>
          </w:tcPr>
          <w:p w:rsidR="009649C7" w:rsidRPr="009649C7" w:rsidRDefault="009649C7" w:rsidP="00F61572">
            <w:pPr>
              <w:spacing w:after="0" w:line="240" w:lineRule="auto"/>
              <w:jc w:val="center"/>
              <w:rPr>
                <w:rFonts w:ascii="Calibri" w:eastAsia="Times New Roman" w:hAnsi="Calibri" w:cs="Calibri"/>
                <w:sz w:val="16"/>
                <w:szCs w:val="16"/>
              </w:rPr>
            </w:pPr>
            <w:r w:rsidRPr="009649C7">
              <w:rPr>
                <w:rFonts w:ascii="Calibri" w:eastAsia="Times New Roman" w:hAnsi="Calibri" w:cs="Calibri"/>
                <w:sz w:val="16"/>
                <w:szCs w:val="16"/>
              </w:rPr>
              <w:t>2,96%</w:t>
            </w:r>
          </w:p>
        </w:tc>
      </w:tr>
      <w:tr w:rsidR="009649C7" w:rsidRPr="009649C7" w:rsidTr="00F61572">
        <w:trPr>
          <w:trHeight w:val="462"/>
        </w:trPr>
        <w:tc>
          <w:tcPr>
            <w:tcW w:w="3280" w:type="dxa"/>
            <w:tcBorders>
              <w:top w:val="nil"/>
              <w:left w:val="single" w:sz="4" w:space="0" w:color="auto"/>
              <w:bottom w:val="single" w:sz="4" w:space="0" w:color="auto"/>
              <w:right w:val="single" w:sz="4" w:space="0" w:color="auto"/>
            </w:tcBorders>
            <w:shd w:val="clear" w:color="000000" w:fill="BDD7EE"/>
            <w:noWrap/>
            <w:vAlign w:val="center"/>
            <w:hideMark/>
          </w:tcPr>
          <w:p w:rsidR="009649C7" w:rsidRPr="009649C7" w:rsidRDefault="009649C7" w:rsidP="00F61572">
            <w:pPr>
              <w:spacing w:after="0" w:line="240" w:lineRule="auto"/>
              <w:rPr>
                <w:rFonts w:ascii="Calibri" w:eastAsia="Times New Roman" w:hAnsi="Calibri" w:cs="Calibri"/>
                <w:b/>
                <w:bCs/>
                <w:sz w:val="16"/>
                <w:szCs w:val="16"/>
              </w:rPr>
            </w:pPr>
            <w:r w:rsidRPr="009649C7">
              <w:rPr>
                <w:rFonts w:ascii="Calibri" w:eastAsia="Times New Roman" w:hAnsi="Calibri" w:cs="Calibri"/>
                <w:b/>
                <w:bCs/>
                <w:sz w:val="16"/>
                <w:szCs w:val="16"/>
              </w:rPr>
              <w:t>TOTALE COSTO</w:t>
            </w:r>
          </w:p>
        </w:tc>
        <w:tc>
          <w:tcPr>
            <w:tcW w:w="1320" w:type="dxa"/>
            <w:tcBorders>
              <w:top w:val="nil"/>
              <w:left w:val="nil"/>
              <w:bottom w:val="single" w:sz="4" w:space="0" w:color="auto"/>
              <w:right w:val="single" w:sz="4" w:space="0" w:color="auto"/>
            </w:tcBorders>
            <w:shd w:val="clear" w:color="000000" w:fill="BDD7EE"/>
            <w:vAlign w:val="center"/>
            <w:hideMark/>
          </w:tcPr>
          <w:p w:rsidR="009649C7" w:rsidRPr="009649C7" w:rsidRDefault="009649C7" w:rsidP="00F61572">
            <w:pPr>
              <w:spacing w:after="0" w:line="240" w:lineRule="auto"/>
              <w:jc w:val="right"/>
              <w:rPr>
                <w:rFonts w:ascii="Calibri" w:eastAsia="Times New Roman" w:hAnsi="Calibri" w:cs="Calibri"/>
                <w:b/>
                <w:bCs/>
                <w:sz w:val="16"/>
                <w:szCs w:val="16"/>
              </w:rPr>
            </w:pPr>
            <w:r w:rsidRPr="009649C7">
              <w:rPr>
                <w:rFonts w:ascii="Calibri" w:eastAsia="Times New Roman" w:hAnsi="Calibri" w:cs="Calibri"/>
                <w:b/>
                <w:bCs/>
                <w:sz w:val="16"/>
                <w:szCs w:val="16"/>
              </w:rPr>
              <w:t>9.763.532,92</w:t>
            </w:r>
          </w:p>
        </w:tc>
        <w:tc>
          <w:tcPr>
            <w:tcW w:w="1480" w:type="dxa"/>
            <w:tcBorders>
              <w:top w:val="nil"/>
              <w:left w:val="nil"/>
              <w:bottom w:val="single" w:sz="4" w:space="0" w:color="auto"/>
              <w:right w:val="single" w:sz="4" w:space="0" w:color="auto"/>
            </w:tcBorders>
            <w:shd w:val="clear" w:color="000000" w:fill="BDD7EE"/>
            <w:vAlign w:val="center"/>
            <w:hideMark/>
          </w:tcPr>
          <w:p w:rsidR="009649C7" w:rsidRPr="009649C7" w:rsidRDefault="009649C7" w:rsidP="00F61572">
            <w:pPr>
              <w:spacing w:after="0" w:line="240" w:lineRule="auto"/>
              <w:jc w:val="right"/>
              <w:rPr>
                <w:rFonts w:ascii="Calibri" w:eastAsia="Times New Roman" w:hAnsi="Calibri" w:cs="Calibri"/>
                <w:b/>
                <w:bCs/>
                <w:sz w:val="16"/>
                <w:szCs w:val="16"/>
              </w:rPr>
            </w:pPr>
            <w:r w:rsidRPr="009649C7">
              <w:rPr>
                <w:rFonts w:ascii="Calibri" w:eastAsia="Times New Roman" w:hAnsi="Calibri" w:cs="Calibri"/>
                <w:b/>
                <w:bCs/>
                <w:sz w:val="16"/>
                <w:szCs w:val="16"/>
              </w:rPr>
              <w:t>9.535.465,17</w:t>
            </w:r>
          </w:p>
        </w:tc>
        <w:tc>
          <w:tcPr>
            <w:tcW w:w="1240" w:type="dxa"/>
            <w:tcBorders>
              <w:top w:val="nil"/>
              <w:left w:val="nil"/>
              <w:bottom w:val="single" w:sz="4" w:space="0" w:color="auto"/>
              <w:right w:val="single" w:sz="4" w:space="0" w:color="auto"/>
            </w:tcBorders>
            <w:shd w:val="clear" w:color="000000" w:fill="BDD7EE"/>
            <w:vAlign w:val="center"/>
            <w:hideMark/>
          </w:tcPr>
          <w:p w:rsidR="009649C7" w:rsidRPr="009649C7" w:rsidRDefault="009649C7" w:rsidP="00F61572">
            <w:pPr>
              <w:spacing w:after="0" w:line="240" w:lineRule="auto"/>
              <w:jc w:val="center"/>
              <w:rPr>
                <w:rFonts w:ascii="Calibri" w:eastAsia="Times New Roman" w:hAnsi="Calibri" w:cs="Calibri"/>
                <w:b/>
                <w:bCs/>
                <w:sz w:val="16"/>
                <w:szCs w:val="16"/>
              </w:rPr>
            </w:pPr>
            <w:r w:rsidRPr="009649C7">
              <w:rPr>
                <w:rFonts w:ascii="Calibri" w:eastAsia="Times New Roman" w:hAnsi="Calibri" w:cs="Calibri"/>
                <w:b/>
                <w:bCs/>
                <w:sz w:val="16"/>
                <w:szCs w:val="16"/>
              </w:rPr>
              <w:t>2,39%</w:t>
            </w:r>
          </w:p>
        </w:tc>
      </w:tr>
    </w:tbl>
    <w:p w:rsidR="009649C7" w:rsidRPr="009B6196" w:rsidRDefault="009649C7" w:rsidP="008249BA">
      <w:pPr>
        <w:spacing w:after="0" w:line="240" w:lineRule="auto"/>
        <w:jc w:val="both"/>
        <w:rPr>
          <w:b/>
          <w:szCs w:val="20"/>
          <w:highlight w:val="yellow"/>
        </w:rPr>
      </w:pPr>
      <w:r w:rsidRPr="009649C7">
        <w:rPr>
          <w:rFonts w:cstheme="minorHAnsi"/>
        </w:rPr>
        <w:fldChar w:fldCharType="end"/>
      </w:r>
    </w:p>
    <w:p w:rsidR="004D60D4" w:rsidRPr="009649C7" w:rsidRDefault="004D60D4" w:rsidP="009271FA">
      <w:pPr>
        <w:pStyle w:val="Paragrafoelenco"/>
        <w:numPr>
          <w:ilvl w:val="0"/>
          <w:numId w:val="11"/>
        </w:numPr>
        <w:rPr>
          <w:szCs w:val="20"/>
        </w:rPr>
      </w:pPr>
      <w:r w:rsidRPr="009649C7">
        <w:rPr>
          <w:color w:val="auto"/>
        </w:rPr>
        <w:t xml:space="preserve">Conto terzi individuale ed oneri derivanti dalle convenzioni di ricerca </w:t>
      </w:r>
      <w:r w:rsidR="009649C7" w:rsidRPr="009649C7">
        <w:t>4,3 M (stabile</w:t>
      </w:r>
      <w:r w:rsidRPr="009649C7">
        <w:t xml:space="preserve">). </w:t>
      </w:r>
      <w:r w:rsidRPr="009649C7">
        <w:rPr>
          <w:rFonts w:cstheme="minorHAnsi"/>
        </w:rPr>
        <w:t>Parte di questo dato sulle convenzioni di ricerca sono partite di giro.</w:t>
      </w:r>
    </w:p>
    <w:p w:rsidR="009649C7" w:rsidRPr="009649C7" w:rsidRDefault="004D60D4" w:rsidP="006F5E64">
      <w:pPr>
        <w:pStyle w:val="Paragrafoelenco"/>
        <w:numPr>
          <w:ilvl w:val="0"/>
          <w:numId w:val="11"/>
        </w:numPr>
        <w:spacing w:after="0" w:line="240" w:lineRule="auto"/>
        <w:jc w:val="both"/>
        <w:rPr>
          <w:rFonts w:eastAsia="Times New Roman"/>
          <w:color w:val="auto"/>
        </w:rPr>
      </w:pPr>
      <w:r w:rsidRPr="009649C7">
        <w:rPr>
          <w:szCs w:val="20"/>
        </w:rPr>
        <w:t xml:space="preserve">Sussidi al personale </w:t>
      </w:r>
      <w:r w:rsidR="002A2C4A" w:rsidRPr="009649C7">
        <w:rPr>
          <w:szCs w:val="20"/>
        </w:rPr>
        <w:t xml:space="preserve">TAB </w:t>
      </w:r>
      <w:r w:rsidR="009649C7" w:rsidRPr="009649C7">
        <w:rPr>
          <w:szCs w:val="20"/>
        </w:rPr>
        <w:t>30.000 € (+21</w:t>
      </w:r>
      <w:r w:rsidRPr="009649C7">
        <w:rPr>
          <w:szCs w:val="20"/>
        </w:rPr>
        <w:t xml:space="preserve">.000). </w:t>
      </w:r>
    </w:p>
    <w:p w:rsidR="006F5E64" w:rsidRPr="00C13707" w:rsidRDefault="009649C7" w:rsidP="00C13707">
      <w:pPr>
        <w:pStyle w:val="Paragrafoelenco"/>
        <w:spacing w:after="0" w:line="240" w:lineRule="auto"/>
        <w:ind w:firstLine="0"/>
        <w:jc w:val="both"/>
        <w:rPr>
          <w:rFonts w:eastAsia="Times New Roman"/>
          <w:i/>
          <w:color w:val="C00000"/>
        </w:rPr>
      </w:pPr>
      <w:r w:rsidRPr="00C13707">
        <w:rPr>
          <w:rFonts w:eastAsia="Times New Roman"/>
          <w:i/>
          <w:color w:val="C00000"/>
        </w:rPr>
        <w:t xml:space="preserve">Commento. </w:t>
      </w:r>
      <w:r w:rsidR="00A378F3" w:rsidRPr="00C13707">
        <w:rPr>
          <w:rFonts w:eastAsia="Times New Roman"/>
          <w:i/>
          <w:color w:val="C00000"/>
        </w:rPr>
        <w:t>Allargare</w:t>
      </w:r>
      <w:r w:rsidR="006F5E64" w:rsidRPr="00C13707">
        <w:rPr>
          <w:rFonts w:eastAsia="Times New Roman"/>
          <w:i/>
          <w:color w:val="C00000"/>
        </w:rPr>
        <w:t xml:space="preserve"> i criteri di erogazione. E’ necessaria una revisione del regolamento sussidi per poter intercettare le necessità dei colleghi e utilizzare </w:t>
      </w:r>
      <w:r w:rsidR="008204CC" w:rsidRPr="00C13707">
        <w:rPr>
          <w:rFonts w:eastAsia="Times New Roman"/>
          <w:i/>
          <w:color w:val="C00000"/>
        </w:rPr>
        <w:t>al meglio i</w:t>
      </w:r>
      <w:r w:rsidR="006F5E64" w:rsidRPr="00C13707">
        <w:rPr>
          <w:rFonts w:eastAsia="Times New Roman"/>
          <w:i/>
          <w:color w:val="C00000"/>
        </w:rPr>
        <w:t>l budget a disposizione.</w:t>
      </w:r>
    </w:p>
    <w:p w:rsidR="002D1390" w:rsidRPr="002D1390" w:rsidRDefault="004D60D4" w:rsidP="002D1390">
      <w:pPr>
        <w:pStyle w:val="Paragrafoelenco"/>
        <w:numPr>
          <w:ilvl w:val="0"/>
          <w:numId w:val="11"/>
        </w:numPr>
        <w:rPr>
          <w:szCs w:val="20"/>
        </w:rPr>
      </w:pPr>
      <w:r w:rsidRPr="00E03E57">
        <w:rPr>
          <w:color w:val="auto"/>
          <w:szCs w:val="20"/>
        </w:rPr>
        <w:t xml:space="preserve">Welfare (attività sociali ricreative, mobilità, asili nido, centri ricreativi, contributo diritto allo studio dei figli e l’assistenza sanitaria, </w:t>
      </w:r>
      <w:r w:rsidRPr="00E03E57">
        <w:rPr>
          <w:rFonts w:eastAsia="Times New Roman"/>
          <w:bCs/>
          <w:color w:val="auto"/>
          <w:szCs w:val="20"/>
        </w:rPr>
        <w:t>spese sostenute dai dipendenti</w:t>
      </w:r>
      <w:r w:rsidRPr="00E03E57">
        <w:rPr>
          <w:rFonts w:eastAsia="Times New Roman"/>
          <w:color w:val="auto"/>
          <w:szCs w:val="20"/>
        </w:rPr>
        <w:t xml:space="preserve"> unicamente </w:t>
      </w:r>
      <w:r w:rsidRPr="00E03E57">
        <w:rPr>
          <w:rFonts w:eastAsia="Times New Roman"/>
          <w:bCs/>
          <w:color w:val="auto"/>
          <w:szCs w:val="20"/>
        </w:rPr>
        <w:t>per servizi di assistenza a familiari non autosufficienti)</w:t>
      </w:r>
      <w:r w:rsidR="009649C7" w:rsidRPr="00E03E57">
        <w:rPr>
          <w:color w:val="auto"/>
          <w:szCs w:val="20"/>
        </w:rPr>
        <w:t xml:space="preserve"> 1,8 M (+0,3</w:t>
      </w:r>
      <w:r w:rsidR="00E355FD" w:rsidRPr="00E03E57">
        <w:rPr>
          <w:color w:val="auto"/>
          <w:szCs w:val="20"/>
        </w:rPr>
        <w:t>).</w:t>
      </w:r>
      <w:r w:rsidR="002D1390" w:rsidRPr="00E03E57">
        <w:rPr>
          <w:color w:val="auto"/>
          <w:szCs w:val="20"/>
        </w:rPr>
        <w:t xml:space="preserve"> In particolare, è aumentato il costo per gli interventi di rimborso asili nidi e centri ricreativi e</w:t>
      </w:r>
      <w:r w:rsidR="0080725E" w:rsidRPr="00E03E57">
        <w:rPr>
          <w:color w:val="auto"/>
          <w:szCs w:val="20"/>
        </w:rPr>
        <w:t xml:space="preserve">stivi. </w:t>
      </w:r>
      <w:r w:rsidR="0080725E">
        <w:rPr>
          <w:szCs w:val="20"/>
        </w:rPr>
        <w:t>Si evidenzia che il 45</w:t>
      </w:r>
      <w:r w:rsidR="002D1390" w:rsidRPr="002D1390">
        <w:rPr>
          <w:szCs w:val="20"/>
        </w:rPr>
        <w:t>% del costo complessivo del welfare è destinato alla polizza per l’ass</w:t>
      </w:r>
      <w:r w:rsidR="0080725E">
        <w:rPr>
          <w:szCs w:val="20"/>
        </w:rPr>
        <w:t>istenza sanitaria, mentre il 37</w:t>
      </w:r>
      <w:r w:rsidR="002D1390" w:rsidRPr="002D1390">
        <w:rPr>
          <w:szCs w:val="20"/>
        </w:rPr>
        <w:t>% al contributo per la mobilità (rimborso treni e ATM). Gli altri interventi riguardano principalmente il rimborso dei costi sostenuti per incentivare il benessere individuale, famigliare e sociale dei dipendenti.</w:t>
      </w:r>
    </w:p>
    <w:p w:rsidR="00E355FD" w:rsidRPr="00C13707" w:rsidRDefault="00E355FD" w:rsidP="00C13707">
      <w:pPr>
        <w:pStyle w:val="Paragrafoelenco"/>
        <w:spacing w:after="0" w:line="240" w:lineRule="auto"/>
        <w:ind w:firstLine="0"/>
        <w:jc w:val="both"/>
        <w:rPr>
          <w:rFonts w:eastAsia="Times New Roman"/>
          <w:i/>
          <w:color w:val="C00000"/>
        </w:rPr>
      </w:pPr>
      <w:r w:rsidRPr="00C13707">
        <w:rPr>
          <w:i/>
          <w:color w:val="C00000"/>
        </w:rPr>
        <w:t xml:space="preserve">Commento: in realtà su un budget </w:t>
      </w:r>
      <w:r w:rsidR="00A378F3" w:rsidRPr="00C13707">
        <w:rPr>
          <w:i/>
          <w:color w:val="C00000"/>
        </w:rPr>
        <w:t>complessivo (docent</w:t>
      </w:r>
      <w:r w:rsidR="002D1390" w:rsidRPr="00C13707">
        <w:rPr>
          <w:i/>
          <w:color w:val="C00000"/>
        </w:rPr>
        <w:t>i e P</w:t>
      </w:r>
      <w:r w:rsidR="00A37246">
        <w:rPr>
          <w:i/>
          <w:color w:val="C00000"/>
        </w:rPr>
        <w:t>.</w:t>
      </w:r>
      <w:r w:rsidR="002D1390" w:rsidRPr="00C13707">
        <w:rPr>
          <w:i/>
          <w:color w:val="C00000"/>
        </w:rPr>
        <w:t>T</w:t>
      </w:r>
      <w:r w:rsidR="00A37246">
        <w:rPr>
          <w:i/>
          <w:color w:val="C00000"/>
        </w:rPr>
        <w:t>.</w:t>
      </w:r>
      <w:r w:rsidR="002D1390" w:rsidRPr="00C13707">
        <w:rPr>
          <w:i/>
          <w:color w:val="C00000"/>
        </w:rPr>
        <w:t>A</w:t>
      </w:r>
      <w:r w:rsidR="00A37246">
        <w:rPr>
          <w:i/>
          <w:color w:val="C00000"/>
        </w:rPr>
        <w:t>.</w:t>
      </w:r>
      <w:r w:rsidR="002D1390" w:rsidRPr="00C13707">
        <w:rPr>
          <w:i/>
          <w:color w:val="C00000"/>
        </w:rPr>
        <w:t>) per il welfare di 2,8 milioni</w:t>
      </w:r>
      <w:r w:rsidR="00A378F3" w:rsidRPr="00C13707">
        <w:rPr>
          <w:i/>
          <w:color w:val="C00000"/>
        </w:rPr>
        <w:t>, s</w:t>
      </w:r>
      <w:r w:rsidR="002D1390" w:rsidRPr="00C13707">
        <w:rPr>
          <w:i/>
          <w:color w:val="C00000"/>
        </w:rPr>
        <w:t>e ne</w:t>
      </w:r>
      <w:r w:rsidRPr="00C13707">
        <w:rPr>
          <w:i/>
          <w:color w:val="C00000"/>
        </w:rPr>
        <w:t xml:space="preserve"> sono spesi solo</w:t>
      </w:r>
      <w:r w:rsidR="002D1390" w:rsidRPr="00C13707">
        <w:rPr>
          <w:i/>
          <w:color w:val="C00000"/>
        </w:rPr>
        <w:t xml:space="preserve"> 1,8</w:t>
      </w:r>
      <w:r w:rsidRPr="00C13707">
        <w:rPr>
          <w:i/>
          <w:color w:val="C00000"/>
        </w:rPr>
        <w:t>. In linea con quanto accaduto negli anni precedenti, quasi 1/3 del budget del welfare non viene speso.</w:t>
      </w:r>
      <w:r w:rsidR="00A378F3" w:rsidRPr="00C13707">
        <w:rPr>
          <w:i/>
          <w:color w:val="C00000"/>
        </w:rPr>
        <w:t xml:space="preserve"> </w:t>
      </w:r>
      <w:r w:rsidR="002D1390" w:rsidRPr="00C13707">
        <w:rPr>
          <w:i/>
          <w:color w:val="C00000"/>
        </w:rPr>
        <w:t>Come richiesto dalla CGIL, bisogna</w:t>
      </w:r>
      <w:r w:rsidR="00A378F3" w:rsidRPr="00C13707">
        <w:rPr>
          <w:rFonts w:eastAsia="Times New Roman"/>
          <w:i/>
          <w:color w:val="C00000"/>
        </w:rPr>
        <w:t xml:space="preserve"> implementare </w:t>
      </w:r>
      <w:r w:rsidR="0004797D">
        <w:rPr>
          <w:rFonts w:eastAsia="Times New Roman"/>
          <w:i/>
          <w:color w:val="C00000"/>
        </w:rPr>
        <w:t>del</w:t>
      </w:r>
      <w:r w:rsidR="002D1390" w:rsidRPr="00C13707">
        <w:rPr>
          <w:rFonts w:eastAsia="Times New Roman"/>
          <w:i/>
          <w:color w:val="C00000"/>
        </w:rPr>
        <w:t xml:space="preserve"> 30% i rimborsi erogati</w:t>
      </w:r>
      <w:r w:rsidR="001E27DC">
        <w:rPr>
          <w:rFonts w:eastAsia="Times New Roman"/>
          <w:i/>
          <w:color w:val="C00000"/>
        </w:rPr>
        <w:t xml:space="preserve"> per le misure a sostegno dei figli dei dipendenti</w:t>
      </w:r>
      <w:r w:rsidR="002D1390" w:rsidRPr="00C13707">
        <w:rPr>
          <w:rFonts w:eastAsia="Times New Roman"/>
          <w:i/>
          <w:color w:val="C00000"/>
        </w:rPr>
        <w:t>, oltre ad individuare nuove</w:t>
      </w:r>
      <w:r w:rsidRPr="00C13707">
        <w:rPr>
          <w:rFonts w:eastAsia="Times New Roman"/>
          <w:i/>
          <w:color w:val="C00000"/>
        </w:rPr>
        <w:t xml:space="preserve"> tipologie </w:t>
      </w:r>
      <w:r w:rsidR="002D1390" w:rsidRPr="00C13707">
        <w:rPr>
          <w:rFonts w:eastAsia="Times New Roman"/>
          <w:i/>
          <w:color w:val="C00000"/>
        </w:rPr>
        <w:t>di</w:t>
      </w:r>
      <w:r w:rsidR="004C4196" w:rsidRPr="00C13707">
        <w:rPr>
          <w:rFonts w:eastAsia="Times New Roman"/>
          <w:i/>
          <w:color w:val="C00000"/>
        </w:rPr>
        <w:t xml:space="preserve"> welfare</w:t>
      </w:r>
      <w:r w:rsidRPr="00C13707">
        <w:rPr>
          <w:rFonts w:eastAsia="Times New Roman"/>
          <w:i/>
          <w:color w:val="C00000"/>
        </w:rPr>
        <w:t>.</w:t>
      </w:r>
    </w:p>
    <w:p w:rsidR="004D60D4" w:rsidRPr="009649C7" w:rsidRDefault="004D60D4" w:rsidP="009271FA">
      <w:pPr>
        <w:pStyle w:val="Paragrafoelenco"/>
        <w:numPr>
          <w:ilvl w:val="0"/>
          <w:numId w:val="11"/>
        </w:numPr>
        <w:spacing w:after="0" w:line="240" w:lineRule="auto"/>
        <w:jc w:val="both"/>
        <w:rPr>
          <w:rFonts w:eastAsia="Times New Roman"/>
        </w:rPr>
      </w:pPr>
      <w:r w:rsidRPr="009649C7">
        <w:rPr>
          <w:szCs w:val="20"/>
        </w:rPr>
        <w:t xml:space="preserve">Ticket e buoni mensa 1,9 M </w:t>
      </w:r>
      <w:r w:rsidR="009649C7" w:rsidRPr="009649C7">
        <w:rPr>
          <w:szCs w:val="20"/>
        </w:rPr>
        <w:t>(stabile</w:t>
      </w:r>
      <w:r w:rsidRPr="009649C7">
        <w:rPr>
          <w:szCs w:val="20"/>
        </w:rPr>
        <w:t>)</w:t>
      </w:r>
      <w:r w:rsidR="009271FA" w:rsidRPr="009649C7">
        <w:rPr>
          <w:szCs w:val="20"/>
        </w:rPr>
        <w:t>.</w:t>
      </w:r>
    </w:p>
    <w:p w:rsidR="004D60D4" w:rsidRPr="009B6196" w:rsidRDefault="004D60D4" w:rsidP="00CB473D">
      <w:pPr>
        <w:spacing w:after="0" w:line="240" w:lineRule="auto"/>
        <w:jc w:val="both"/>
        <w:rPr>
          <w:rFonts w:eastAsia="Times New Roman"/>
          <w:highlight w:val="yellow"/>
        </w:rPr>
      </w:pPr>
    </w:p>
    <w:p w:rsidR="008B36D4" w:rsidRPr="009B6196" w:rsidRDefault="008B36D4" w:rsidP="008249BA">
      <w:pPr>
        <w:spacing w:after="0" w:line="240" w:lineRule="auto"/>
        <w:jc w:val="both"/>
        <w:rPr>
          <w:rFonts w:eastAsia="Times New Roman"/>
          <w:highlight w:val="yellow"/>
        </w:rPr>
      </w:pPr>
    </w:p>
    <w:p w:rsidR="006B4426" w:rsidRPr="008204CC" w:rsidRDefault="009271FA" w:rsidP="008249BA">
      <w:pPr>
        <w:spacing w:after="0" w:line="240" w:lineRule="auto"/>
        <w:jc w:val="both"/>
        <w:rPr>
          <w:b/>
          <w:szCs w:val="20"/>
        </w:rPr>
      </w:pPr>
      <w:r w:rsidRPr="008204CC">
        <w:rPr>
          <w:b/>
          <w:szCs w:val="20"/>
        </w:rPr>
        <w:t>I</w:t>
      </w:r>
      <w:r w:rsidR="00C42FAE" w:rsidRPr="008204CC">
        <w:rPr>
          <w:b/>
          <w:szCs w:val="20"/>
        </w:rPr>
        <w:t xml:space="preserve">) </w:t>
      </w:r>
      <w:r w:rsidR="00B949A6" w:rsidRPr="008204CC">
        <w:rPr>
          <w:b/>
          <w:szCs w:val="20"/>
        </w:rPr>
        <w:t>Costo per la formazione post universitaria e le collaborazioni studentesche</w:t>
      </w:r>
    </w:p>
    <w:p w:rsidR="00B949A6" w:rsidRPr="009B6196" w:rsidRDefault="00B949A6" w:rsidP="008249BA">
      <w:pPr>
        <w:spacing w:after="0" w:line="240" w:lineRule="auto"/>
        <w:jc w:val="both"/>
        <w:rPr>
          <w:rFonts w:asciiTheme="minorHAnsi" w:hAnsiTheme="minorHAnsi" w:cstheme="minorHAnsi"/>
          <w:sz w:val="22"/>
          <w:highlight w:val="yellow"/>
        </w:rPr>
      </w:pPr>
    </w:p>
    <w:tbl>
      <w:tblPr>
        <w:tblW w:w="6880" w:type="dxa"/>
        <w:tblCellMar>
          <w:left w:w="70" w:type="dxa"/>
          <w:right w:w="70" w:type="dxa"/>
        </w:tblCellMar>
        <w:tblLook w:val="04A0" w:firstRow="1" w:lastRow="0" w:firstColumn="1" w:lastColumn="0" w:noHBand="0" w:noVBand="1"/>
      </w:tblPr>
      <w:tblGrid>
        <w:gridCol w:w="3160"/>
        <w:gridCol w:w="1440"/>
        <w:gridCol w:w="1340"/>
        <w:gridCol w:w="940"/>
      </w:tblGrid>
      <w:tr w:rsidR="008204CC" w:rsidRPr="00BD3151" w:rsidTr="00F61572">
        <w:trPr>
          <w:trHeight w:val="402"/>
        </w:trPr>
        <w:tc>
          <w:tcPr>
            <w:tcW w:w="3160" w:type="dxa"/>
            <w:tcBorders>
              <w:top w:val="single" w:sz="4" w:space="0" w:color="auto"/>
              <w:left w:val="single" w:sz="4" w:space="0" w:color="auto"/>
              <w:bottom w:val="single" w:sz="4" w:space="0" w:color="auto"/>
              <w:right w:val="single" w:sz="4" w:space="0" w:color="auto"/>
            </w:tcBorders>
            <w:shd w:val="clear" w:color="000000" w:fill="BDD7EE"/>
            <w:noWrap/>
            <w:vAlign w:val="center"/>
            <w:hideMark/>
          </w:tcPr>
          <w:p w:rsidR="008204CC" w:rsidRPr="00BD3151" w:rsidRDefault="008204CC" w:rsidP="00F61572">
            <w:pPr>
              <w:rPr>
                <w:rFonts w:ascii="Calibri" w:eastAsia="Times New Roman" w:hAnsi="Calibri" w:cs="Calibri"/>
                <w:b/>
                <w:bCs/>
                <w:sz w:val="14"/>
                <w:szCs w:val="14"/>
              </w:rPr>
            </w:pPr>
            <w:r w:rsidRPr="00BD3151">
              <w:rPr>
                <w:rFonts w:ascii="Calibri" w:eastAsia="Times New Roman" w:hAnsi="Calibri" w:cs="Calibri"/>
                <w:b/>
                <w:bCs/>
                <w:sz w:val="14"/>
                <w:szCs w:val="14"/>
              </w:rPr>
              <w:t>TIPOLOGIA DI BORSA/CONTRATTO</w:t>
            </w:r>
          </w:p>
        </w:tc>
        <w:tc>
          <w:tcPr>
            <w:tcW w:w="1440" w:type="dxa"/>
            <w:tcBorders>
              <w:top w:val="single" w:sz="4" w:space="0" w:color="auto"/>
              <w:left w:val="nil"/>
              <w:bottom w:val="single" w:sz="4" w:space="0" w:color="auto"/>
              <w:right w:val="single" w:sz="4" w:space="0" w:color="auto"/>
            </w:tcBorders>
            <w:shd w:val="clear" w:color="000000" w:fill="BDD7EE"/>
            <w:vAlign w:val="center"/>
            <w:hideMark/>
          </w:tcPr>
          <w:p w:rsidR="008204CC" w:rsidRPr="00BD3151" w:rsidRDefault="008204CC" w:rsidP="00F61572">
            <w:pPr>
              <w:spacing w:after="0" w:line="240" w:lineRule="auto"/>
              <w:jc w:val="center"/>
              <w:rPr>
                <w:rFonts w:ascii="Calibri" w:eastAsia="Times New Roman" w:hAnsi="Calibri" w:cs="Calibri"/>
                <w:b/>
                <w:bCs/>
                <w:sz w:val="14"/>
                <w:szCs w:val="14"/>
              </w:rPr>
            </w:pPr>
            <w:r w:rsidRPr="00BD3151">
              <w:rPr>
                <w:rFonts w:ascii="Calibri" w:eastAsia="Times New Roman" w:hAnsi="Calibri" w:cs="Calibri"/>
                <w:b/>
                <w:bCs/>
                <w:sz w:val="14"/>
                <w:szCs w:val="14"/>
              </w:rPr>
              <w:t>Costo totale 2020</w:t>
            </w:r>
          </w:p>
        </w:tc>
        <w:tc>
          <w:tcPr>
            <w:tcW w:w="1340" w:type="dxa"/>
            <w:tcBorders>
              <w:top w:val="single" w:sz="4" w:space="0" w:color="auto"/>
              <w:left w:val="nil"/>
              <w:bottom w:val="single" w:sz="4" w:space="0" w:color="auto"/>
              <w:right w:val="single" w:sz="4" w:space="0" w:color="auto"/>
            </w:tcBorders>
            <w:shd w:val="clear" w:color="000000" w:fill="BDD7EE"/>
            <w:vAlign w:val="center"/>
            <w:hideMark/>
          </w:tcPr>
          <w:p w:rsidR="008204CC" w:rsidRPr="00BD3151" w:rsidRDefault="008204CC" w:rsidP="00F61572">
            <w:pPr>
              <w:spacing w:after="0" w:line="240" w:lineRule="auto"/>
              <w:jc w:val="center"/>
              <w:rPr>
                <w:rFonts w:ascii="Calibri" w:eastAsia="Times New Roman" w:hAnsi="Calibri" w:cs="Calibri"/>
                <w:b/>
                <w:bCs/>
                <w:sz w:val="14"/>
                <w:szCs w:val="14"/>
              </w:rPr>
            </w:pPr>
            <w:r w:rsidRPr="00BD3151">
              <w:rPr>
                <w:rFonts w:ascii="Calibri" w:eastAsia="Times New Roman" w:hAnsi="Calibri" w:cs="Calibri"/>
                <w:b/>
                <w:bCs/>
                <w:sz w:val="14"/>
                <w:szCs w:val="14"/>
              </w:rPr>
              <w:t>Costo totale 2019</w:t>
            </w:r>
          </w:p>
        </w:tc>
        <w:tc>
          <w:tcPr>
            <w:tcW w:w="940" w:type="dxa"/>
            <w:tcBorders>
              <w:top w:val="single" w:sz="4" w:space="0" w:color="auto"/>
              <w:left w:val="nil"/>
              <w:bottom w:val="single" w:sz="4" w:space="0" w:color="auto"/>
              <w:right w:val="single" w:sz="4" w:space="0" w:color="auto"/>
            </w:tcBorders>
            <w:shd w:val="clear" w:color="000000" w:fill="BDD7EE"/>
            <w:noWrap/>
            <w:vAlign w:val="center"/>
            <w:hideMark/>
          </w:tcPr>
          <w:p w:rsidR="008204CC" w:rsidRPr="00BD3151" w:rsidRDefault="008204CC" w:rsidP="00F61572">
            <w:pPr>
              <w:spacing w:after="0" w:line="240" w:lineRule="auto"/>
              <w:jc w:val="center"/>
              <w:rPr>
                <w:rFonts w:ascii="Calibri" w:eastAsia="Times New Roman" w:hAnsi="Calibri" w:cs="Calibri"/>
                <w:b/>
                <w:bCs/>
                <w:sz w:val="14"/>
                <w:szCs w:val="14"/>
              </w:rPr>
            </w:pPr>
            <w:r w:rsidRPr="00BD3151">
              <w:rPr>
                <w:rFonts w:ascii="Calibri" w:eastAsia="Times New Roman" w:hAnsi="Calibri" w:cs="Calibri"/>
                <w:b/>
                <w:bCs/>
                <w:sz w:val="14"/>
                <w:szCs w:val="14"/>
              </w:rPr>
              <w:t>∆ 2020/2019</w:t>
            </w:r>
          </w:p>
        </w:tc>
      </w:tr>
      <w:tr w:rsidR="008204CC" w:rsidRPr="00BD3151" w:rsidTr="00F61572">
        <w:trPr>
          <w:trHeight w:val="402"/>
        </w:trPr>
        <w:tc>
          <w:tcPr>
            <w:tcW w:w="3160" w:type="dxa"/>
            <w:tcBorders>
              <w:top w:val="nil"/>
              <w:left w:val="single" w:sz="4" w:space="0" w:color="auto"/>
              <w:bottom w:val="single" w:sz="4" w:space="0" w:color="auto"/>
              <w:right w:val="single" w:sz="4" w:space="0" w:color="auto"/>
            </w:tcBorders>
            <w:shd w:val="clear" w:color="000000" w:fill="FFFFFF"/>
            <w:vAlign w:val="center"/>
            <w:hideMark/>
          </w:tcPr>
          <w:p w:rsidR="008204CC" w:rsidRPr="00BD3151" w:rsidRDefault="008204CC" w:rsidP="00F61572">
            <w:pPr>
              <w:spacing w:after="0" w:line="240" w:lineRule="auto"/>
              <w:rPr>
                <w:rFonts w:ascii="Calibri" w:eastAsia="Times New Roman" w:hAnsi="Calibri" w:cs="Calibri"/>
                <w:sz w:val="14"/>
                <w:szCs w:val="14"/>
              </w:rPr>
            </w:pPr>
            <w:r w:rsidRPr="00BD3151">
              <w:rPr>
                <w:rFonts w:ascii="Calibri" w:eastAsia="Times New Roman" w:hAnsi="Calibri" w:cs="Calibri"/>
                <w:sz w:val="14"/>
                <w:szCs w:val="14"/>
              </w:rPr>
              <w:t>Borse e premi</w:t>
            </w:r>
          </w:p>
        </w:tc>
        <w:tc>
          <w:tcPr>
            <w:tcW w:w="1440" w:type="dxa"/>
            <w:tcBorders>
              <w:top w:val="nil"/>
              <w:left w:val="nil"/>
              <w:bottom w:val="single" w:sz="4" w:space="0" w:color="auto"/>
              <w:right w:val="single" w:sz="4" w:space="0" w:color="auto"/>
            </w:tcBorders>
            <w:shd w:val="clear" w:color="000000" w:fill="FFFFFF"/>
            <w:noWrap/>
            <w:vAlign w:val="center"/>
            <w:hideMark/>
          </w:tcPr>
          <w:p w:rsidR="008204CC" w:rsidRPr="00BD3151" w:rsidRDefault="008204CC" w:rsidP="00F61572">
            <w:pPr>
              <w:spacing w:after="0" w:line="240" w:lineRule="auto"/>
              <w:jc w:val="center"/>
              <w:rPr>
                <w:rFonts w:ascii="Calibri" w:eastAsia="Times New Roman" w:hAnsi="Calibri" w:cs="Calibri"/>
                <w:sz w:val="14"/>
                <w:szCs w:val="14"/>
              </w:rPr>
            </w:pPr>
            <w:r w:rsidRPr="00BD3151">
              <w:rPr>
                <w:rFonts w:ascii="Calibri" w:eastAsia="Times New Roman" w:hAnsi="Calibri" w:cs="Calibri"/>
                <w:sz w:val="14"/>
                <w:szCs w:val="14"/>
              </w:rPr>
              <w:t>1.787.901,42</w:t>
            </w:r>
          </w:p>
        </w:tc>
        <w:tc>
          <w:tcPr>
            <w:tcW w:w="1340" w:type="dxa"/>
            <w:tcBorders>
              <w:top w:val="nil"/>
              <w:left w:val="nil"/>
              <w:bottom w:val="single" w:sz="4" w:space="0" w:color="auto"/>
              <w:right w:val="single" w:sz="4" w:space="0" w:color="auto"/>
            </w:tcBorders>
            <w:shd w:val="clear" w:color="000000" w:fill="FFFFFF"/>
            <w:noWrap/>
            <w:vAlign w:val="center"/>
            <w:hideMark/>
          </w:tcPr>
          <w:p w:rsidR="008204CC" w:rsidRPr="00BD3151" w:rsidRDefault="008204CC" w:rsidP="00F61572">
            <w:pPr>
              <w:spacing w:after="0" w:line="240" w:lineRule="auto"/>
              <w:jc w:val="center"/>
              <w:rPr>
                <w:rFonts w:ascii="Calibri" w:eastAsia="Times New Roman" w:hAnsi="Calibri" w:cs="Calibri"/>
                <w:sz w:val="14"/>
                <w:szCs w:val="14"/>
              </w:rPr>
            </w:pPr>
            <w:r w:rsidRPr="00BD3151">
              <w:rPr>
                <w:rFonts w:ascii="Calibri" w:eastAsia="Times New Roman" w:hAnsi="Calibri" w:cs="Calibri"/>
                <w:sz w:val="14"/>
                <w:szCs w:val="14"/>
              </w:rPr>
              <w:t>1.489.431,74</w:t>
            </w:r>
          </w:p>
        </w:tc>
        <w:tc>
          <w:tcPr>
            <w:tcW w:w="940" w:type="dxa"/>
            <w:tcBorders>
              <w:top w:val="nil"/>
              <w:left w:val="nil"/>
              <w:bottom w:val="single" w:sz="4" w:space="0" w:color="auto"/>
              <w:right w:val="single" w:sz="4" w:space="0" w:color="auto"/>
            </w:tcBorders>
            <w:shd w:val="clear" w:color="000000" w:fill="FFFFFF"/>
            <w:noWrap/>
            <w:vAlign w:val="center"/>
            <w:hideMark/>
          </w:tcPr>
          <w:p w:rsidR="008204CC" w:rsidRPr="00BD3151" w:rsidRDefault="008204CC" w:rsidP="00F61572">
            <w:pPr>
              <w:spacing w:after="0" w:line="240" w:lineRule="auto"/>
              <w:jc w:val="center"/>
              <w:rPr>
                <w:rFonts w:ascii="Calibri" w:eastAsia="Times New Roman" w:hAnsi="Calibri" w:cs="Calibri"/>
                <w:sz w:val="14"/>
                <w:szCs w:val="14"/>
              </w:rPr>
            </w:pPr>
            <w:r w:rsidRPr="00BD3151">
              <w:rPr>
                <w:rFonts w:ascii="Calibri" w:eastAsia="Times New Roman" w:hAnsi="Calibri" w:cs="Calibri"/>
                <w:sz w:val="14"/>
                <w:szCs w:val="14"/>
              </w:rPr>
              <w:t>20,04%</w:t>
            </w:r>
          </w:p>
        </w:tc>
      </w:tr>
      <w:tr w:rsidR="008204CC" w:rsidRPr="00BD3151" w:rsidTr="00F61572">
        <w:trPr>
          <w:trHeight w:val="402"/>
        </w:trPr>
        <w:tc>
          <w:tcPr>
            <w:tcW w:w="3160" w:type="dxa"/>
            <w:tcBorders>
              <w:top w:val="nil"/>
              <w:left w:val="single" w:sz="4" w:space="0" w:color="auto"/>
              <w:bottom w:val="single" w:sz="4" w:space="0" w:color="auto"/>
              <w:right w:val="single" w:sz="4" w:space="0" w:color="auto"/>
            </w:tcBorders>
            <w:shd w:val="clear" w:color="000000" w:fill="FFFFFF"/>
            <w:noWrap/>
            <w:vAlign w:val="center"/>
            <w:hideMark/>
          </w:tcPr>
          <w:p w:rsidR="008204CC" w:rsidRPr="00BD3151" w:rsidRDefault="008204CC" w:rsidP="00F61572">
            <w:pPr>
              <w:spacing w:after="0" w:line="240" w:lineRule="auto"/>
              <w:rPr>
                <w:rFonts w:ascii="Calibri" w:eastAsia="Times New Roman" w:hAnsi="Calibri" w:cs="Calibri"/>
                <w:sz w:val="14"/>
                <w:szCs w:val="14"/>
              </w:rPr>
            </w:pPr>
            <w:r w:rsidRPr="00BD3151">
              <w:rPr>
                <w:rFonts w:ascii="Calibri" w:eastAsia="Times New Roman" w:hAnsi="Calibri" w:cs="Calibri"/>
                <w:sz w:val="14"/>
                <w:szCs w:val="14"/>
              </w:rPr>
              <w:t>Dottorato di ricerca</w:t>
            </w:r>
          </w:p>
        </w:tc>
        <w:tc>
          <w:tcPr>
            <w:tcW w:w="1440" w:type="dxa"/>
            <w:tcBorders>
              <w:top w:val="nil"/>
              <w:left w:val="nil"/>
              <w:bottom w:val="single" w:sz="4" w:space="0" w:color="auto"/>
              <w:right w:val="single" w:sz="4" w:space="0" w:color="auto"/>
            </w:tcBorders>
            <w:shd w:val="clear" w:color="000000" w:fill="FFFFFF"/>
            <w:noWrap/>
            <w:vAlign w:val="center"/>
            <w:hideMark/>
          </w:tcPr>
          <w:p w:rsidR="008204CC" w:rsidRPr="00BD3151" w:rsidRDefault="008204CC" w:rsidP="00F61572">
            <w:pPr>
              <w:spacing w:after="0" w:line="240" w:lineRule="auto"/>
              <w:jc w:val="center"/>
              <w:rPr>
                <w:rFonts w:ascii="Calibri" w:eastAsia="Times New Roman" w:hAnsi="Calibri" w:cs="Calibri"/>
                <w:sz w:val="14"/>
                <w:szCs w:val="14"/>
              </w:rPr>
            </w:pPr>
            <w:r w:rsidRPr="00BD3151">
              <w:rPr>
                <w:rFonts w:ascii="Calibri" w:eastAsia="Times New Roman" w:hAnsi="Calibri" w:cs="Calibri"/>
                <w:sz w:val="14"/>
                <w:szCs w:val="14"/>
              </w:rPr>
              <w:t>16.305.690,96</w:t>
            </w:r>
          </w:p>
        </w:tc>
        <w:tc>
          <w:tcPr>
            <w:tcW w:w="1340" w:type="dxa"/>
            <w:tcBorders>
              <w:top w:val="nil"/>
              <w:left w:val="nil"/>
              <w:bottom w:val="single" w:sz="4" w:space="0" w:color="auto"/>
              <w:right w:val="single" w:sz="4" w:space="0" w:color="auto"/>
            </w:tcBorders>
            <w:shd w:val="clear" w:color="000000" w:fill="FFFFFF"/>
            <w:noWrap/>
            <w:vAlign w:val="center"/>
            <w:hideMark/>
          </w:tcPr>
          <w:p w:rsidR="008204CC" w:rsidRPr="00BD3151" w:rsidRDefault="008204CC" w:rsidP="00F61572">
            <w:pPr>
              <w:spacing w:after="0" w:line="240" w:lineRule="auto"/>
              <w:jc w:val="center"/>
              <w:rPr>
                <w:rFonts w:ascii="Calibri" w:eastAsia="Times New Roman" w:hAnsi="Calibri" w:cs="Calibri"/>
                <w:sz w:val="14"/>
                <w:szCs w:val="14"/>
              </w:rPr>
            </w:pPr>
            <w:r w:rsidRPr="00BD3151">
              <w:rPr>
                <w:rFonts w:ascii="Calibri" w:eastAsia="Times New Roman" w:hAnsi="Calibri" w:cs="Calibri"/>
                <w:sz w:val="14"/>
                <w:szCs w:val="14"/>
              </w:rPr>
              <w:t>16.031.347,43</w:t>
            </w:r>
          </w:p>
        </w:tc>
        <w:tc>
          <w:tcPr>
            <w:tcW w:w="940" w:type="dxa"/>
            <w:tcBorders>
              <w:top w:val="nil"/>
              <w:left w:val="nil"/>
              <w:bottom w:val="single" w:sz="4" w:space="0" w:color="auto"/>
              <w:right w:val="single" w:sz="4" w:space="0" w:color="auto"/>
            </w:tcBorders>
            <w:shd w:val="clear" w:color="000000" w:fill="FFFFFF"/>
            <w:noWrap/>
            <w:vAlign w:val="center"/>
            <w:hideMark/>
          </w:tcPr>
          <w:p w:rsidR="008204CC" w:rsidRPr="00BD3151" w:rsidRDefault="008204CC" w:rsidP="00F61572">
            <w:pPr>
              <w:spacing w:after="0" w:line="240" w:lineRule="auto"/>
              <w:jc w:val="center"/>
              <w:rPr>
                <w:rFonts w:ascii="Calibri" w:eastAsia="Times New Roman" w:hAnsi="Calibri" w:cs="Calibri"/>
                <w:sz w:val="14"/>
                <w:szCs w:val="14"/>
              </w:rPr>
            </w:pPr>
            <w:r w:rsidRPr="00BD3151">
              <w:rPr>
                <w:rFonts w:ascii="Calibri" w:eastAsia="Times New Roman" w:hAnsi="Calibri" w:cs="Calibri"/>
                <w:sz w:val="14"/>
                <w:szCs w:val="14"/>
              </w:rPr>
              <w:t>1,71%</w:t>
            </w:r>
          </w:p>
        </w:tc>
      </w:tr>
      <w:tr w:rsidR="008204CC" w:rsidRPr="00BD3151" w:rsidTr="00F61572">
        <w:trPr>
          <w:trHeight w:val="402"/>
        </w:trPr>
        <w:tc>
          <w:tcPr>
            <w:tcW w:w="3160" w:type="dxa"/>
            <w:tcBorders>
              <w:top w:val="nil"/>
              <w:left w:val="single" w:sz="4" w:space="0" w:color="auto"/>
              <w:bottom w:val="single" w:sz="4" w:space="0" w:color="auto"/>
              <w:right w:val="single" w:sz="4" w:space="0" w:color="auto"/>
            </w:tcBorders>
            <w:shd w:val="clear" w:color="000000" w:fill="FFFFFF"/>
            <w:vAlign w:val="center"/>
            <w:hideMark/>
          </w:tcPr>
          <w:p w:rsidR="008204CC" w:rsidRPr="00BD3151" w:rsidRDefault="008204CC" w:rsidP="00F61572">
            <w:pPr>
              <w:spacing w:after="0" w:line="240" w:lineRule="auto"/>
              <w:rPr>
                <w:rFonts w:ascii="Calibri" w:eastAsia="Times New Roman" w:hAnsi="Calibri" w:cs="Calibri"/>
                <w:sz w:val="14"/>
                <w:szCs w:val="14"/>
              </w:rPr>
            </w:pPr>
            <w:r w:rsidRPr="00BD3151">
              <w:rPr>
                <w:rFonts w:ascii="Calibri" w:eastAsia="Times New Roman" w:hAnsi="Calibri" w:cs="Calibri"/>
                <w:sz w:val="14"/>
                <w:szCs w:val="14"/>
              </w:rPr>
              <w:t>Contratti di formazione specialistica Area Medica L.368/99</w:t>
            </w:r>
          </w:p>
        </w:tc>
        <w:tc>
          <w:tcPr>
            <w:tcW w:w="1440" w:type="dxa"/>
            <w:tcBorders>
              <w:top w:val="nil"/>
              <w:left w:val="nil"/>
              <w:bottom w:val="single" w:sz="4" w:space="0" w:color="auto"/>
              <w:right w:val="single" w:sz="4" w:space="0" w:color="auto"/>
            </w:tcBorders>
            <w:shd w:val="clear" w:color="000000" w:fill="FFFFFF"/>
            <w:noWrap/>
            <w:vAlign w:val="center"/>
            <w:hideMark/>
          </w:tcPr>
          <w:p w:rsidR="008204CC" w:rsidRPr="00BD3151" w:rsidRDefault="008204CC" w:rsidP="00F61572">
            <w:pPr>
              <w:spacing w:after="0" w:line="240" w:lineRule="auto"/>
              <w:jc w:val="center"/>
              <w:rPr>
                <w:rFonts w:ascii="Calibri" w:eastAsia="Times New Roman" w:hAnsi="Calibri" w:cs="Calibri"/>
                <w:sz w:val="14"/>
                <w:szCs w:val="14"/>
              </w:rPr>
            </w:pPr>
            <w:r w:rsidRPr="00BD3151">
              <w:rPr>
                <w:rFonts w:ascii="Calibri" w:eastAsia="Times New Roman" w:hAnsi="Calibri" w:cs="Calibri"/>
                <w:sz w:val="14"/>
                <w:szCs w:val="14"/>
              </w:rPr>
              <w:t>46.610.503,39</w:t>
            </w:r>
          </w:p>
        </w:tc>
        <w:tc>
          <w:tcPr>
            <w:tcW w:w="1340" w:type="dxa"/>
            <w:tcBorders>
              <w:top w:val="nil"/>
              <w:left w:val="nil"/>
              <w:bottom w:val="single" w:sz="4" w:space="0" w:color="auto"/>
              <w:right w:val="single" w:sz="4" w:space="0" w:color="auto"/>
            </w:tcBorders>
            <w:shd w:val="clear" w:color="000000" w:fill="FFFFFF"/>
            <w:noWrap/>
            <w:vAlign w:val="center"/>
            <w:hideMark/>
          </w:tcPr>
          <w:p w:rsidR="008204CC" w:rsidRPr="00BD3151" w:rsidRDefault="008204CC" w:rsidP="00F61572">
            <w:pPr>
              <w:spacing w:after="0" w:line="240" w:lineRule="auto"/>
              <w:jc w:val="center"/>
              <w:rPr>
                <w:rFonts w:ascii="Calibri" w:eastAsia="Times New Roman" w:hAnsi="Calibri" w:cs="Calibri"/>
                <w:sz w:val="14"/>
                <w:szCs w:val="14"/>
              </w:rPr>
            </w:pPr>
            <w:r w:rsidRPr="00BD3151">
              <w:rPr>
                <w:rFonts w:ascii="Calibri" w:eastAsia="Times New Roman" w:hAnsi="Calibri" w:cs="Calibri"/>
                <w:sz w:val="14"/>
                <w:szCs w:val="14"/>
              </w:rPr>
              <w:t>43.351.714,45</w:t>
            </w:r>
          </w:p>
        </w:tc>
        <w:tc>
          <w:tcPr>
            <w:tcW w:w="940" w:type="dxa"/>
            <w:tcBorders>
              <w:top w:val="nil"/>
              <w:left w:val="nil"/>
              <w:bottom w:val="single" w:sz="4" w:space="0" w:color="auto"/>
              <w:right w:val="single" w:sz="4" w:space="0" w:color="auto"/>
            </w:tcBorders>
            <w:shd w:val="clear" w:color="000000" w:fill="FFFFFF"/>
            <w:noWrap/>
            <w:vAlign w:val="center"/>
            <w:hideMark/>
          </w:tcPr>
          <w:p w:rsidR="008204CC" w:rsidRPr="00BD3151" w:rsidRDefault="008204CC" w:rsidP="00F61572">
            <w:pPr>
              <w:spacing w:after="0" w:line="240" w:lineRule="auto"/>
              <w:jc w:val="center"/>
              <w:rPr>
                <w:rFonts w:ascii="Calibri" w:eastAsia="Times New Roman" w:hAnsi="Calibri" w:cs="Calibri"/>
                <w:sz w:val="14"/>
                <w:szCs w:val="14"/>
              </w:rPr>
            </w:pPr>
            <w:r w:rsidRPr="00BD3151">
              <w:rPr>
                <w:rFonts w:ascii="Calibri" w:eastAsia="Times New Roman" w:hAnsi="Calibri" w:cs="Calibri"/>
                <w:sz w:val="14"/>
                <w:szCs w:val="14"/>
              </w:rPr>
              <w:t>7,52%</w:t>
            </w:r>
          </w:p>
        </w:tc>
      </w:tr>
      <w:tr w:rsidR="008204CC" w:rsidRPr="00BD3151" w:rsidTr="00F61572">
        <w:trPr>
          <w:trHeight w:val="402"/>
        </w:trPr>
        <w:tc>
          <w:tcPr>
            <w:tcW w:w="3160" w:type="dxa"/>
            <w:tcBorders>
              <w:top w:val="nil"/>
              <w:left w:val="single" w:sz="4" w:space="0" w:color="auto"/>
              <w:bottom w:val="single" w:sz="4" w:space="0" w:color="auto"/>
              <w:right w:val="single" w:sz="4" w:space="0" w:color="auto"/>
            </w:tcBorders>
            <w:shd w:val="clear" w:color="000000" w:fill="FFFFFF"/>
            <w:vAlign w:val="center"/>
            <w:hideMark/>
          </w:tcPr>
          <w:p w:rsidR="008204CC" w:rsidRPr="00BD3151" w:rsidRDefault="008204CC" w:rsidP="00F61572">
            <w:pPr>
              <w:spacing w:after="0" w:line="240" w:lineRule="auto"/>
              <w:rPr>
                <w:rFonts w:ascii="Calibri" w:eastAsia="Times New Roman" w:hAnsi="Calibri" w:cs="Calibri"/>
                <w:sz w:val="14"/>
                <w:szCs w:val="14"/>
              </w:rPr>
            </w:pPr>
            <w:r w:rsidRPr="00BD3151">
              <w:rPr>
                <w:rFonts w:ascii="Calibri" w:eastAsia="Times New Roman" w:hAnsi="Calibri" w:cs="Calibri"/>
                <w:sz w:val="14"/>
                <w:szCs w:val="14"/>
              </w:rPr>
              <w:t xml:space="preserve">Borse di specialistica non medica L. 398/89 </w:t>
            </w:r>
          </w:p>
        </w:tc>
        <w:tc>
          <w:tcPr>
            <w:tcW w:w="1440" w:type="dxa"/>
            <w:tcBorders>
              <w:top w:val="nil"/>
              <w:left w:val="nil"/>
              <w:bottom w:val="single" w:sz="4" w:space="0" w:color="auto"/>
              <w:right w:val="single" w:sz="4" w:space="0" w:color="auto"/>
            </w:tcBorders>
            <w:shd w:val="clear" w:color="000000" w:fill="FFFFFF"/>
            <w:noWrap/>
            <w:vAlign w:val="center"/>
            <w:hideMark/>
          </w:tcPr>
          <w:p w:rsidR="008204CC" w:rsidRPr="00BD3151" w:rsidRDefault="008204CC" w:rsidP="00F61572">
            <w:pPr>
              <w:spacing w:after="0" w:line="240" w:lineRule="auto"/>
              <w:jc w:val="center"/>
              <w:rPr>
                <w:rFonts w:ascii="Calibri" w:eastAsia="Times New Roman" w:hAnsi="Calibri" w:cs="Calibri"/>
                <w:sz w:val="14"/>
                <w:szCs w:val="14"/>
              </w:rPr>
            </w:pPr>
            <w:r w:rsidRPr="00BD3151">
              <w:rPr>
                <w:rFonts w:ascii="Calibri" w:eastAsia="Times New Roman" w:hAnsi="Calibri" w:cs="Calibri"/>
                <w:sz w:val="14"/>
                <w:szCs w:val="14"/>
              </w:rPr>
              <w:t>306.639,00</w:t>
            </w:r>
          </w:p>
        </w:tc>
        <w:tc>
          <w:tcPr>
            <w:tcW w:w="1340" w:type="dxa"/>
            <w:tcBorders>
              <w:top w:val="nil"/>
              <w:left w:val="nil"/>
              <w:bottom w:val="single" w:sz="4" w:space="0" w:color="auto"/>
              <w:right w:val="single" w:sz="4" w:space="0" w:color="auto"/>
            </w:tcBorders>
            <w:shd w:val="clear" w:color="000000" w:fill="FFFFFF"/>
            <w:noWrap/>
            <w:vAlign w:val="center"/>
            <w:hideMark/>
          </w:tcPr>
          <w:p w:rsidR="008204CC" w:rsidRPr="00BD3151" w:rsidRDefault="008204CC" w:rsidP="00F61572">
            <w:pPr>
              <w:spacing w:after="0" w:line="240" w:lineRule="auto"/>
              <w:jc w:val="center"/>
              <w:rPr>
                <w:rFonts w:ascii="Calibri" w:eastAsia="Times New Roman" w:hAnsi="Calibri" w:cs="Calibri"/>
                <w:sz w:val="14"/>
                <w:szCs w:val="14"/>
              </w:rPr>
            </w:pPr>
            <w:r w:rsidRPr="00BD3151">
              <w:rPr>
                <w:rFonts w:ascii="Calibri" w:eastAsia="Times New Roman" w:hAnsi="Calibri" w:cs="Calibri"/>
                <w:sz w:val="14"/>
                <w:szCs w:val="14"/>
              </w:rPr>
              <w:t>596.242,50</w:t>
            </w:r>
          </w:p>
        </w:tc>
        <w:tc>
          <w:tcPr>
            <w:tcW w:w="940" w:type="dxa"/>
            <w:tcBorders>
              <w:top w:val="nil"/>
              <w:left w:val="nil"/>
              <w:bottom w:val="single" w:sz="4" w:space="0" w:color="auto"/>
              <w:right w:val="single" w:sz="4" w:space="0" w:color="auto"/>
            </w:tcBorders>
            <w:shd w:val="clear" w:color="000000" w:fill="FFFFFF"/>
            <w:noWrap/>
            <w:vAlign w:val="center"/>
            <w:hideMark/>
          </w:tcPr>
          <w:p w:rsidR="008204CC" w:rsidRPr="00BD3151" w:rsidRDefault="008204CC" w:rsidP="00F61572">
            <w:pPr>
              <w:spacing w:after="0" w:line="240" w:lineRule="auto"/>
              <w:jc w:val="center"/>
              <w:rPr>
                <w:rFonts w:ascii="Calibri" w:eastAsia="Times New Roman" w:hAnsi="Calibri" w:cs="Calibri"/>
                <w:sz w:val="14"/>
                <w:szCs w:val="14"/>
              </w:rPr>
            </w:pPr>
            <w:r w:rsidRPr="00BD3151">
              <w:rPr>
                <w:rFonts w:ascii="Calibri" w:eastAsia="Times New Roman" w:hAnsi="Calibri" w:cs="Calibri"/>
                <w:sz w:val="14"/>
                <w:szCs w:val="14"/>
              </w:rPr>
              <w:t>-48,57%</w:t>
            </w:r>
          </w:p>
        </w:tc>
      </w:tr>
      <w:tr w:rsidR="008204CC" w:rsidRPr="00BD3151" w:rsidTr="00F61572">
        <w:trPr>
          <w:trHeight w:val="402"/>
        </w:trPr>
        <w:tc>
          <w:tcPr>
            <w:tcW w:w="3160" w:type="dxa"/>
            <w:tcBorders>
              <w:top w:val="nil"/>
              <w:left w:val="single" w:sz="4" w:space="0" w:color="auto"/>
              <w:bottom w:val="single" w:sz="4" w:space="0" w:color="auto"/>
              <w:right w:val="single" w:sz="4" w:space="0" w:color="auto"/>
            </w:tcBorders>
            <w:shd w:val="clear" w:color="000000" w:fill="FFFFFF"/>
            <w:noWrap/>
            <w:vAlign w:val="center"/>
            <w:hideMark/>
          </w:tcPr>
          <w:p w:rsidR="008204CC" w:rsidRPr="00BD3151" w:rsidRDefault="008204CC" w:rsidP="00F61572">
            <w:pPr>
              <w:spacing w:after="0" w:line="240" w:lineRule="auto"/>
              <w:rPr>
                <w:rFonts w:ascii="Calibri" w:eastAsia="Times New Roman" w:hAnsi="Calibri" w:cs="Calibri"/>
                <w:sz w:val="14"/>
                <w:szCs w:val="14"/>
              </w:rPr>
            </w:pPr>
            <w:r w:rsidRPr="00BD3151">
              <w:rPr>
                <w:rFonts w:ascii="Calibri" w:eastAsia="Times New Roman" w:hAnsi="Calibri" w:cs="Calibri"/>
                <w:sz w:val="14"/>
                <w:szCs w:val="14"/>
              </w:rPr>
              <w:t>Assegni di ricerca tipo a)</w:t>
            </w:r>
          </w:p>
        </w:tc>
        <w:tc>
          <w:tcPr>
            <w:tcW w:w="1440" w:type="dxa"/>
            <w:tcBorders>
              <w:top w:val="nil"/>
              <w:left w:val="nil"/>
              <w:bottom w:val="single" w:sz="4" w:space="0" w:color="auto"/>
              <w:right w:val="single" w:sz="4" w:space="0" w:color="auto"/>
            </w:tcBorders>
            <w:shd w:val="clear" w:color="000000" w:fill="FFFFFF"/>
            <w:noWrap/>
            <w:vAlign w:val="center"/>
            <w:hideMark/>
          </w:tcPr>
          <w:p w:rsidR="008204CC" w:rsidRPr="00BD3151" w:rsidRDefault="008204CC" w:rsidP="00F61572">
            <w:pPr>
              <w:spacing w:after="0" w:line="240" w:lineRule="auto"/>
              <w:jc w:val="center"/>
              <w:rPr>
                <w:rFonts w:ascii="Calibri" w:eastAsia="Times New Roman" w:hAnsi="Calibri" w:cs="Calibri"/>
                <w:sz w:val="14"/>
                <w:szCs w:val="14"/>
              </w:rPr>
            </w:pPr>
            <w:r w:rsidRPr="00BD3151">
              <w:rPr>
                <w:rFonts w:ascii="Calibri" w:eastAsia="Times New Roman" w:hAnsi="Calibri" w:cs="Calibri"/>
                <w:sz w:val="14"/>
                <w:szCs w:val="14"/>
              </w:rPr>
              <w:t>5.145.226,41</w:t>
            </w:r>
          </w:p>
        </w:tc>
        <w:tc>
          <w:tcPr>
            <w:tcW w:w="1340" w:type="dxa"/>
            <w:tcBorders>
              <w:top w:val="nil"/>
              <w:left w:val="nil"/>
              <w:bottom w:val="single" w:sz="4" w:space="0" w:color="auto"/>
              <w:right w:val="single" w:sz="4" w:space="0" w:color="auto"/>
            </w:tcBorders>
            <w:shd w:val="clear" w:color="000000" w:fill="FFFFFF"/>
            <w:noWrap/>
            <w:vAlign w:val="center"/>
            <w:hideMark/>
          </w:tcPr>
          <w:p w:rsidR="008204CC" w:rsidRPr="00BD3151" w:rsidRDefault="008204CC" w:rsidP="00F61572">
            <w:pPr>
              <w:spacing w:after="0" w:line="240" w:lineRule="auto"/>
              <w:jc w:val="center"/>
              <w:rPr>
                <w:rFonts w:ascii="Calibri" w:eastAsia="Times New Roman" w:hAnsi="Calibri" w:cs="Calibri"/>
                <w:sz w:val="14"/>
                <w:szCs w:val="14"/>
              </w:rPr>
            </w:pPr>
            <w:r w:rsidRPr="00BD3151">
              <w:rPr>
                <w:rFonts w:ascii="Calibri" w:eastAsia="Times New Roman" w:hAnsi="Calibri" w:cs="Calibri"/>
                <w:sz w:val="14"/>
                <w:szCs w:val="14"/>
              </w:rPr>
              <w:t>6.509.716,19</w:t>
            </w:r>
          </w:p>
        </w:tc>
        <w:tc>
          <w:tcPr>
            <w:tcW w:w="940" w:type="dxa"/>
            <w:tcBorders>
              <w:top w:val="nil"/>
              <w:left w:val="nil"/>
              <w:bottom w:val="single" w:sz="4" w:space="0" w:color="auto"/>
              <w:right w:val="single" w:sz="4" w:space="0" w:color="auto"/>
            </w:tcBorders>
            <w:shd w:val="clear" w:color="000000" w:fill="FFFFFF"/>
            <w:noWrap/>
            <w:vAlign w:val="center"/>
            <w:hideMark/>
          </w:tcPr>
          <w:p w:rsidR="008204CC" w:rsidRPr="00BD3151" w:rsidRDefault="008204CC" w:rsidP="00F61572">
            <w:pPr>
              <w:spacing w:after="0" w:line="240" w:lineRule="auto"/>
              <w:jc w:val="center"/>
              <w:rPr>
                <w:rFonts w:ascii="Calibri" w:eastAsia="Times New Roman" w:hAnsi="Calibri" w:cs="Calibri"/>
                <w:sz w:val="14"/>
                <w:szCs w:val="14"/>
              </w:rPr>
            </w:pPr>
            <w:r w:rsidRPr="00BD3151">
              <w:rPr>
                <w:rFonts w:ascii="Calibri" w:eastAsia="Times New Roman" w:hAnsi="Calibri" w:cs="Calibri"/>
                <w:sz w:val="14"/>
                <w:szCs w:val="14"/>
              </w:rPr>
              <w:t>-20,96%</w:t>
            </w:r>
          </w:p>
        </w:tc>
      </w:tr>
      <w:tr w:rsidR="008204CC" w:rsidRPr="00BD3151" w:rsidTr="00F61572">
        <w:trPr>
          <w:trHeight w:val="402"/>
        </w:trPr>
        <w:tc>
          <w:tcPr>
            <w:tcW w:w="3160" w:type="dxa"/>
            <w:tcBorders>
              <w:top w:val="nil"/>
              <w:left w:val="single" w:sz="4" w:space="0" w:color="auto"/>
              <w:bottom w:val="single" w:sz="4" w:space="0" w:color="auto"/>
              <w:right w:val="single" w:sz="4" w:space="0" w:color="auto"/>
            </w:tcBorders>
            <w:shd w:val="clear" w:color="000000" w:fill="FFFFFF"/>
            <w:noWrap/>
            <w:vAlign w:val="center"/>
            <w:hideMark/>
          </w:tcPr>
          <w:p w:rsidR="008204CC" w:rsidRPr="00BD3151" w:rsidRDefault="008204CC" w:rsidP="00F61572">
            <w:pPr>
              <w:spacing w:after="0" w:line="240" w:lineRule="auto"/>
              <w:rPr>
                <w:rFonts w:ascii="Calibri" w:eastAsia="Times New Roman" w:hAnsi="Calibri" w:cs="Calibri"/>
                <w:sz w:val="14"/>
                <w:szCs w:val="14"/>
              </w:rPr>
            </w:pPr>
            <w:r w:rsidRPr="00BD3151">
              <w:rPr>
                <w:rFonts w:ascii="Calibri" w:eastAsia="Times New Roman" w:hAnsi="Calibri" w:cs="Calibri"/>
                <w:sz w:val="14"/>
                <w:szCs w:val="14"/>
              </w:rPr>
              <w:t>Assegni di ricerca tipo b)</w:t>
            </w:r>
          </w:p>
        </w:tc>
        <w:tc>
          <w:tcPr>
            <w:tcW w:w="1440" w:type="dxa"/>
            <w:tcBorders>
              <w:top w:val="nil"/>
              <w:left w:val="nil"/>
              <w:bottom w:val="single" w:sz="4" w:space="0" w:color="auto"/>
              <w:right w:val="single" w:sz="4" w:space="0" w:color="auto"/>
            </w:tcBorders>
            <w:shd w:val="clear" w:color="000000" w:fill="FFFFFF"/>
            <w:noWrap/>
            <w:vAlign w:val="center"/>
            <w:hideMark/>
          </w:tcPr>
          <w:p w:rsidR="008204CC" w:rsidRPr="00BD3151" w:rsidRDefault="008204CC" w:rsidP="00F61572">
            <w:pPr>
              <w:spacing w:after="0" w:line="240" w:lineRule="auto"/>
              <w:jc w:val="center"/>
              <w:rPr>
                <w:rFonts w:ascii="Calibri" w:eastAsia="Times New Roman" w:hAnsi="Calibri" w:cs="Calibri"/>
                <w:sz w:val="14"/>
                <w:szCs w:val="14"/>
              </w:rPr>
            </w:pPr>
            <w:r w:rsidRPr="00BD3151">
              <w:rPr>
                <w:rFonts w:ascii="Calibri" w:eastAsia="Times New Roman" w:hAnsi="Calibri" w:cs="Calibri"/>
                <w:sz w:val="14"/>
                <w:szCs w:val="14"/>
              </w:rPr>
              <w:t>14.776.820,89</w:t>
            </w:r>
          </w:p>
        </w:tc>
        <w:tc>
          <w:tcPr>
            <w:tcW w:w="1340" w:type="dxa"/>
            <w:tcBorders>
              <w:top w:val="nil"/>
              <w:left w:val="nil"/>
              <w:bottom w:val="single" w:sz="4" w:space="0" w:color="auto"/>
              <w:right w:val="single" w:sz="4" w:space="0" w:color="auto"/>
            </w:tcBorders>
            <w:shd w:val="clear" w:color="000000" w:fill="FFFFFF"/>
            <w:noWrap/>
            <w:vAlign w:val="center"/>
            <w:hideMark/>
          </w:tcPr>
          <w:p w:rsidR="008204CC" w:rsidRPr="00BD3151" w:rsidRDefault="008204CC" w:rsidP="00F61572">
            <w:pPr>
              <w:spacing w:after="0" w:line="240" w:lineRule="auto"/>
              <w:jc w:val="center"/>
              <w:rPr>
                <w:rFonts w:ascii="Calibri" w:eastAsia="Times New Roman" w:hAnsi="Calibri" w:cs="Calibri"/>
                <w:sz w:val="14"/>
                <w:szCs w:val="14"/>
              </w:rPr>
            </w:pPr>
            <w:r w:rsidRPr="00BD3151">
              <w:rPr>
                <w:rFonts w:ascii="Calibri" w:eastAsia="Times New Roman" w:hAnsi="Calibri" w:cs="Calibri"/>
                <w:sz w:val="14"/>
                <w:szCs w:val="14"/>
              </w:rPr>
              <w:t>12.785.851,16</w:t>
            </w:r>
          </w:p>
        </w:tc>
        <w:tc>
          <w:tcPr>
            <w:tcW w:w="940" w:type="dxa"/>
            <w:tcBorders>
              <w:top w:val="nil"/>
              <w:left w:val="nil"/>
              <w:bottom w:val="single" w:sz="4" w:space="0" w:color="auto"/>
              <w:right w:val="single" w:sz="4" w:space="0" w:color="auto"/>
            </w:tcBorders>
            <w:shd w:val="clear" w:color="000000" w:fill="FFFFFF"/>
            <w:noWrap/>
            <w:vAlign w:val="center"/>
            <w:hideMark/>
          </w:tcPr>
          <w:p w:rsidR="008204CC" w:rsidRPr="00BD3151" w:rsidRDefault="008204CC" w:rsidP="00F61572">
            <w:pPr>
              <w:spacing w:after="0" w:line="240" w:lineRule="auto"/>
              <w:jc w:val="center"/>
              <w:rPr>
                <w:rFonts w:ascii="Calibri" w:eastAsia="Times New Roman" w:hAnsi="Calibri" w:cs="Calibri"/>
                <w:sz w:val="14"/>
                <w:szCs w:val="14"/>
              </w:rPr>
            </w:pPr>
            <w:r w:rsidRPr="00BD3151">
              <w:rPr>
                <w:rFonts w:ascii="Calibri" w:eastAsia="Times New Roman" w:hAnsi="Calibri" w:cs="Calibri"/>
                <w:sz w:val="14"/>
                <w:szCs w:val="14"/>
              </w:rPr>
              <w:t>15,57%</w:t>
            </w:r>
          </w:p>
        </w:tc>
      </w:tr>
      <w:tr w:rsidR="008204CC" w:rsidRPr="00BD3151" w:rsidTr="00F61572">
        <w:trPr>
          <w:trHeight w:val="402"/>
        </w:trPr>
        <w:tc>
          <w:tcPr>
            <w:tcW w:w="3160" w:type="dxa"/>
            <w:tcBorders>
              <w:top w:val="nil"/>
              <w:left w:val="single" w:sz="4" w:space="0" w:color="auto"/>
              <w:bottom w:val="single" w:sz="4" w:space="0" w:color="auto"/>
              <w:right w:val="single" w:sz="4" w:space="0" w:color="auto"/>
            </w:tcBorders>
            <w:shd w:val="clear" w:color="000000" w:fill="9BC2E6"/>
            <w:noWrap/>
            <w:vAlign w:val="center"/>
            <w:hideMark/>
          </w:tcPr>
          <w:p w:rsidR="008204CC" w:rsidRPr="00BD3151" w:rsidRDefault="008204CC" w:rsidP="00F61572">
            <w:pPr>
              <w:spacing w:after="0" w:line="240" w:lineRule="auto"/>
              <w:rPr>
                <w:rFonts w:ascii="Calibri" w:eastAsia="Times New Roman" w:hAnsi="Calibri" w:cs="Calibri"/>
                <w:b/>
                <w:bCs/>
                <w:sz w:val="14"/>
                <w:szCs w:val="14"/>
              </w:rPr>
            </w:pPr>
            <w:r w:rsidRPr="00BD3151">
              <w:rPr>
                <w:rFonts w:ascii="Calibri" w:eastAsia="Times New Roman" w:hAnsi="Calibri" w:cs="Calibri"/>
                <w:b/>
                <w:bCs/>
                <w:sz w:val="14"/>
                <w:szCs w:val="14"/>
              </w:rPr>
              <w:t>TOTALE COSTO</w:t>
            </w:r>
          </w:p>
        </w:tc>
        <w:tc>
          <w:tcPr>
            <w:tcW w:w="1440" w:type="dxa"/>
            <w:tcBorders>
              <w:top w:val="nil"/>
              <w:left w:val="nil"/>
              <w:bottom w:val="single" w:sz="4" w:space="0" w:color="auto"/>
              <w:right w:val="single" w:sz="4" w:space="0" w:color="auto"/>
            </w:tcBorders>
            <w:shd w:val="clear" w:color="000000" w:fill="9BC2E6"/>
            <w:vAlign w:val="center"/>
            <w:hideMark/>
          </w:tcPr>
          <w:p w:rsidR="008204CC" w:rsidRPr="00BD3151" w:rsidRDefault="008204CC" w:rsidP="00F61572">
            <w:pPr>
              <w:spacing w:after="0" w:line="240" w:lineRule="auto"/>
              <w:jc w:val="center"/>
              <w:rPr>
                <w:rFonts w:ascii="Calibri" w:eastAsia="Times New Roman" w:hAnsi="Calibri" w:cs="Calibri"/>
                <w:b/>
                <w:bCs/>
                <w:sz w:val="14"/>
                <w:szCs w:val="14"/>
              </w:rPr>
            </w:pPr>
            <w:r w:rsidRPr="00BD3151">
              <w:rPr>
                <w:rFonts w:ascii="Calibri" w:eastAsia="Times New Roman" w:hAnsi="Calibri" w:cs="Calibri"/>
                <w:b/>
                <w:bCs/>
                <w:sz w:val="14"/>
                <w:szCs w:val="14"/>
              </w:rPr>
              <w:t>84.932.782,07</w:t>
            </w:r>
          </w:p>
        </w:tc>
        <w:tc>
          <w:tcPr>
            <w:tcW w:w="1340" w:type="dxa"/>
            <w:tcBorders>
              <w:top w:val="nil"/>
              <w:left w:val="nil"/>
              <w:bottom w:val="single" w:sz="4" w:space="0" w:color="auto"/>
              <w:right w:val="single" w:sz="4" w:space="0" w:color="auto"/>
            </w:tcBorders>
            <w:shd w:val="clear" w:color="000000" w:fill="9BC2E6"/>
            <w:vAlign w:val="center"/>
            <w:hideMark/>
          </w:tcPr>
          <w:p w:rsidR="008204CC" w:rsidRPr="00BD3151" w:rsidRDefault="008204CC" w:rsidP="00F61572">
            <w:pPr>
              <w:spacing w:after="0" w:line="240" w:lineRule="auto"/>
              <w:jc w:val="center"/>
              <w:rPr>
                <w:rFonts w:ascii="Calibri" w:eastAsia="Times New Roman" w:hAnsi="Calibri" w:cs="Calibri"/>
                <w:b/>
                <w:bCs/>
                <w:sz w:val="14"/>
                <w:szCs w:val="14"/>
              </w:rPr>
            </w:pPr>
            <w:r w:rsidRPr="00BD3151">
              <w:rPr>
                <w:rFonts w:ascii="Calibri" w:eastAsia="Times New Roman" w:hAnsi="Calibri" w:cs="Calibri"/>
                <w:b/>
                <w:bCs/>
                <w:sz w:val="14"/>
                <w:szCs w:val="14"/>
              </w:rPr>
              <w:t>80.764.303,47</w:t>
            </w:r>
          </w:p>
        </w:tc>
        <w:tc>
          <w:tcPr>
            <w:tcW w:w="940" w:type="dxa"/>
            <w:tcBorders>
              <w:top w:val="nil"/>
              <w:left w:val="nil"/>
              <w:bottom w:val="single" w:sz="4" w:space="0" w:color="auto"/>
              <w:right w:val="single" w:sz="4" w:space="0" w:color="auto"/>
            </w:tcBorders>
            <w:shd w:val="clear" w:color="000000" w:fill="9BC2E6"/>
            <w:vAlign w:val="center"/>
            <w:hideMark/>
          </w:tcPr>
          <w:p w:rsidR="008204CC" w:rsidRPr="00BD3151" w:rsidRDefault="008204CC" w:rsidP="00F61572">
            <w:pPr>
              <w:spacing w:after="0" w:line="240" w:lineRule="auto"/>
              <w:jc w:val="center"/>
              <w:rPr>
                <w:rFonts w:ascii="Calibri" w:eastAsia="Times New Roman" w:hAnsi="Calibri" w:cs="Calibri"/>
                <w:b/>
                <w:bCs/>
                <w:sz w:val="14"/>
                <w:szCs w:val="14"/>
              </w:rPr>
            </w:pPr>
            <w:r w:rsidRPr="00BD3151">
              <w:rPr>
                <w:rFonts w:ascii="Calibri" w:eastAsia="Times New Roman" w:hAnsi="Calibri" w:cs="Calibri"/>
                <w:b/>
                <w:bCs/>
                <w:sz w:val="14"/>
                <w:szCs w:val="14"/>
              </w:rPr>
              <w:t>5,16%</w:t>
            </w:r>
          </w:p>
        </w:tc>
      </w:tr>
      <w:tr w:rsidR="008204CC" w:rsidRPr="00BD3151" w:rsidTr="00F61572">
        <w:trPr>
          <w:trHeight w:val="402"/>
        </w:trPr>
        <w:tc>
          <w:tcPr>
            <w:tcW w:w="3160" w:type="dxa"/>
            <w:tcBorders>
              <w:top w:val="single" w:sz="4" w:space="0" w:color="auto"/>
              <w:left w:val="single" w:sz="4" w:space="0" w:color="auto"/>
              <w:bottom w:val="single" w:sz="4" w:space="0" w:color="auto"/>
              <w:right w:val="single" w:sz="4" w:space="0" w:color="auto"/>
            </w:tcBorders>
            <w:shd w:val="clear" w:color="000000" w:fill="BDD7EE"/>
            <w:vAlign w:val="center"/>
            <w:hideMark/>
          </w:tcPr>
          <w:p w:rsidR="008204CC" w:rsidRPr="00BD3151" w:rsidRDefault="008204CC" w:rsidP="00F61572">
            <w:pPr>
              <w:rPr>
                <w:rFonts w:ascii="Calibri" w:eastAsia="Times New Roman" w:hAnsi="Calibri" w:cs="Calibri"/>
                <w:b/>
                <w:bCs/>
                <w:sz w:val="16"/>
                <w:szCs w:val="16"/>
              </w:rPr>
            </w:pPr>
            <w:r w:rsidRPr="00BD3151">
              <w:rPr>
                <w:rFonts w:ascii="Calibri" w:eastAsia="Times New Roman" w:hAnsi="Calibri" w:cs="Calibri"/>
                <w:b/>
                <w:bCs/>
                <w:sz w:val="16"/>
                <w:szCs w:val="16"/>
              </w:rPr>
              <w:t>Tutoraggio e didattica integrativa art. 45, collaborazioni studentesche</w:t>
            </w:r>
          </w:p>
        </w:tc>
        <w:tc>
          <w:tcPr>
            <w:tcW w:w="1440" w:type="dxa"/>
            <w:tcBorders>
              <w:top w:val="single" w:sz="4" w:space="0" w:color="auto"/>
              <w:left w:val="nil"/>
              <w:bottom w:val="single" w:sz="4" w:space="0" w:color="auto"/>
              <w:right w:val="single" w:sz="4" w:space="0" w:color="auto"/>
            </w:tcBorders>
            <w:shd w:val="clear" w:color="000000" w:fill="BDD7EE"/>
            <w:vAlign w:val="center"/>
            <w:hideMark/>
          </w:tcPr>
          <w:p w:rsidR="008204CC" w:rsidRPr="00BD3151" w:rsidRDefault="008204CC" w:rsidP="00F61572">
            <w:pPr>
              <w:spacing w:after="0" w:line="240" w:lineRule="auto"/>
              <w:jc w:val="center"/>
              <w:rPr>
                <w:rFonts w:ascii="Calibri" w:eastAsia="Times New Roman" w:hAnsi="Calibri" w:cs="Calibri"/>
                <w:b/>
                <w:bCs/>
                <w:sz w:val="16"/>
                <w:szCs w:val="16"/>
              </w:rPr>
            </w:pPr>
            <w:r w:rsidRPr="00BD3151">
              <w:rPr>
                <w:rFonts w:ascii="Calibri" w:eastAsia="Times New Roman" w:hAnsi="Calibri" w:cs="Calibri"/>
                <w:b/>
                <w:bCs/>
                <w:sz w:val="16"/>
                <w:szCs w:val="16"/>
              </w:rPr>
              <w:t>Costo totale 2020</w:t>
            </w:r>
          </w:p>
        </w:tc>
        <w:tc>
          <w:tcPr>
            <w:tcW w:w="1340" w:type="dxa"/>
            <w:tcBorders>
              <w:top w:val="single" w:sz="4" w:space="0" w:color="auto"/>
              <w:left w:val="nil"/>
              <w:bottom w:val="single" w:sz="4" w:space="0" w:color="auto"/>
              <w:right w:val="single" w:sz="4" w:space="0" w:color="auto"/>
            </w:tcBorders>
            <w:shd w:val="clear" w:color="000000" w:fill="BDD7EE"/>
            <w:vAlign w:val="center"/>
            <w:hideMark/>
          </w:tcPr>
          <w:p w:rsidR="008204CC" w:rsidRPr="00BD3151" w:rsidRDefault="008204CC" w:rsidP="00F61572">
            <w:pPr>
              <w:spacing w:after="0" w:line="240" w:lineRule="auto"/>
              <w:jc w:val="center"/>
              <w:rPr>
                <w:rFonts w:ascii="Calibri" w:eastAsia="Times New Roman" w:hAnsi="Calibri" w:cs="Calibri"/>
                <w:b/>
                <w:bCs/>
                <w:sz w:val="16"/>
                <w:szCs w:val="16"/>
              </w:rPr>
            </w:pPr>
            <w:r w:rsidRPr="00BD3151">
              <w:rPr>
                <w:rFonts w:ascii="Calibri" w:eastAsia="Times New Roman" w:hAnsi="Calibri" w:cs="Calibri"/>
                <w:b/>
                <w:bCs/>
                <w:sz w:val="16"/>
                <w:szCs w:val="16"/>
              </w:rPr>
              <w:t>Costo totale 2019</w:t>
            </w:r>
          </w:p>
        </w:tc>
        <w:tc>
          <w:tcPr>
            <w:tcW w:w="940" w:type="dxa"/>
            <w:tcBorders>
              <w:top w:val="single" w:sz="4" w:space="0" w:color="auto"/>
              <w:left w:val="nil"/>
              <w:bottom w:val="single" w:sz="4" w:space="0" w:color="auto"/>
              <w:right w:val="single" w:sz="4" w:space="0" w:color="auto"/>
            </w:tcBorders>
            <w:shd w:val="clear" w:color="000000" w:fill="BDD7EE"/>
            <w:noWrap/>
            <w:vAlign w:val="center"/>
            <w:hideMark/>
          </w:tcPr>
          <w:p w:rsidR="008204CC" w:rsidRPr="00BD3151" w:rsidRDefault="008204CC" w:rsidP="00F61572">
            <w:pPr>
              <w:spacing w:after="0" w:line="240" w:lineRule="auto"/>
              <w:jc w:val="center"/>
              <w:rPr>
                <w:rFonts w:ascii="Calibri" w:eastAsia="Times New Roman" w:hAnsi="Calibri" w:cs="Calibri"/>
                <w:b/>
                <w:bCs/>
                <w:sz w:val="16"/>
                <w:szCs w:val="16"/>
              </w:rPr>
            </w:pPr>
            <w:r w:rsidRPr="00BD3151">
              <w:rPr>
                <w:rFonts w:ascii="Calibri" w:eastAsia="Times New Roman" w:hAnsi="Calibri" w:cs="Calibri"/>
                <w:b/>
                <w:bCs/>
                <w:sz w:val="16"/>
                <w:szCs w:val="16"/>
              </w:rPr>
              <w:t>∆ 2020/2019</w:t>
            </w:r>
          </w:p>
        </w:tc>
      </w:tr>
      <w:tr w:rsidR="008204CC" w:rsidRPr="00BD3151" w:rsidTr="00F61572">
        <w:trPr>
          <w:trHeight w:val="402"/>
        </w:trPr>
        <w:tc>
          <w:tcPr>
            <w:tcW w:w="3160" w:type="dxa"/>
            <w:tcBorders>
              <w:top w:val="nil"/>
              <w:left w:val="single" w:sz="4" w:space="0" w:color="auto"/>
              <w:bottom w:val="single" w:sz="4" w:space="0" w:color="auto"/>
              <w:right w:val="single" w:sz="4" w:space="0" w:color="auto"/>
            </w:tcBorders>
            <w:shd w:val="clear" w:color="000000" w:fill="FFFFFF"/>
            <w:vAlign w:val="center"/>
            <w:hideMark/>
          </w:tcPr>
          <w:p w:rsidR="008204CC" w:rsidRPr="00BD3151" w:rsidRDefault="008204CC" w:rsidP="00F61572">
            <w:pPr>
              <w:spacing w:after="0" w:line="240" w:lineRule="auto"/>
              <w:rPr>
                <w:rFonts w:ascii="Calibri" w:eastAsia="Times New Roman" w:hAnsi="Calibri" w:cs="Calibri"/>
                <w:sz w:val="16"/>
                <w:szCs w:val="16"/>
              </w:rPr>
            </w:pPr>
            <w:r w:rsidRPr="00BD3151">
              <w:rPr>
                <w:rFonts w:ascii="Calibri" w:eastAsia="Times New Roman" w:hAnsi="Calibri" w:cs="Calibri"/>
                <w:sz w:val="16"/>
                <w:szCs w:val="16"/>
              </w:rPr>
              <w:t>Attività a tempo parziale studenti L. 390/91 (150 ore studenti)</w:t>
            </w:r>
          </w:p>
        </w:tc>
        <w:tc>
          <w:tcPr>
            <w:tcW w:w="1440" w:type="dxa"/>
            <w:tcBorders>
              <w:top w:val="nil"/>
              <w:left w:val="nil"/>
              <w:bottom w:val="single" w:sz="4" w:space="0" w:color="auto"/>
              <w:right w:val="single" w:sz="4" w:space="0" w:color="auto"/>
            </w:tcBorders>
            <w:shd w:val="clear" w:color="000000" w:fill="FFFFFF"/>
            <w:noWrap/>
            <w:vAlign w:val="center"/>
            <w:hideMark/>
          </w:tcPr>
          <w:p w:rsidR="008204CC" w:rsidRPr="00BD3151" w:rsidRDefault="008204CC" w:rsidP="00F61572">
            <w:pPr>
              <w:spacing w:after="0" w:line="240" w:lineRule="auto"/>
              <w:jc w:val="center"/>
              <w:rPr>
                <w:rFonts w:ascii="Calibri" w:eastAsia="Times New Roman" w:hAnsi="Calibri" w:cs="Calibri"/>
                <w:sz w:val="16"/>
                <w:szCs w:val="16"/>
              </w:rPr>
            </w:pPr>
            <w:r w:rsidRPr="00BD3151">
              <w:rPr>
                <w:rFonts w:ascii="Calibri" w:eastAsia="Times New Roman" w:hAnsi="Calibri" w:cs="Calibri"/>
                <w:sz w:val="16"/>
                <w:szCs w:val="16"/>
              </w:rPr>
              <w:t>171.497,80</w:t>
            </w:r>
          </w:p>
        </w:tc>
        <w:tc>
          <w:tcPr>
            <w:tcW w:w="1340" w:type="dxa"/>
            <w:tcBorders>
              <w:top w:val="nil"/>
              <w:left w:val="nil"/>
              <w:bottom w:val="single" w:sz="4" w:space="0" w:color="auto"/>
              <w:right w:val="single" w:sz="4" w:space="0" w:color="auto"/>
            </w:tcBorders>
            <w:shd w:val="clear" w:color="000000" w:fill="FFFFFF"/>
            <w:noWrap/>
            <w:vAlign w:val="center"/>
            <w:hideMark/>
          </w:tcPr>
          <w:p w:rsidR="008204CC" w:rsidRPr="00BD3151" w:rsidRDefault="008204CC" w:rsidP="00F61572">
            <w:pPr>
              <w:spacing w:after="0" w:line="240" w:lineRule="auto"/>
              <w:jc w:val="center"/>
              <w:rPr>
                <w:rFonts w:ascii="Calibri" w:eastAsia="Times New Roman" w:hAnsi="Calibri" w:cs="Calibri"/>
                <w:sz w:val="16"/>
                <w:szCs w:val="16"/>
              </w:rPr>
            </w:pPr>
            <w:r w:rsidRPr="00BD3151">
              <w:rPr>
                <w:rFonts w:ascii="Calibri" w:eastAsia="Times New Roman" w:hAnsi="Calibri" w:cs="Calibri"/>
                <w:sz w:val="16"/>
                <w:szCs w:val="16"/>
              </w:rPr>
              <w:t>592.541,64</w:t>
            </w:r>
          </w:p>
        </w:tc>
        <w:tc>
          <w:tcPr>
            <w:tcW w:w="940" w:type="dxa"/>
            <w:tcBorders>
              <w:top w:val="nil"/>
              <w:left w:val="nil"/>
              <w:bottom w:val="single" w:sz="4" w:space="0" w:color="auto"/>
              <w:right w:val="single" w:sz="4" w:space="0" w:color="auto"/>
            </w:tcBorders>
            <w:shd w:val="clear" w:color="000000" w:fill="FFFFFF"/>
            <w:noWrap/>
            <w:vAlign w:val="center"/>
            <w:hideMark/>
          </w:tcPr>
          <w:p w:rsidR="008204CC" w:rsidRPr="00BD3151" w:rsidRDefault="008204CC" w:rsidP="00F61572">
            <w:pPr>
              <w:spacing w:after="0" w:line="240" w:lineRule="auto"/>
              <w:jc w:val="center"/>
              <w:rPr>
                <w:rFonts w:ascii="Calibri" w:eastAsia="Times New Roman" w:hAnsi="Calibri" w:cs="Calibri"/>
                <w:sz w:val="16"/>
                <w:szCs w:val="16"/>
              </w:rPr>
            </w:pPr>
            <w:r w:rsidRPr="00BD3151">
              <w:rPr>
                <w:rFonts w:ascii="Calibri" w:eastAsia="Times New Roman" w:hAnsi="Calibri" w:cs="Calibri"/>
                <w:sz w:val="16"/>
                <w:szCs w:val="16"/>
              </w:rPr>
              <w:t>-71,06%</w:t>
            </w:r>
          </w:p>
        </w:tc>
      </w:tr>
      <w:tr w:rsidR="008204CC" w:rsidRPr="00BD3151" w:rsidTr="00F61572">
        <w:trPr>
          <w:trHeight w:val="402"/>
        </w:trPr>
        <w:tc>
          <w:tcPr>
            <w:tcW w:w="3160" w:type="dxa"/>
            <w:tcBorders>
              <w:top w:val="nil"/>
              <w:left w:val="single" w:sz="4" w:space="0" w:color="auto"/>
              <w:bottom w:val="single" w:sz="4" w:space="0" w:color="auto"/>
              <w:right w:val="single" w:sz="4" w:space="0" w:color="auto"/>
            </w:tcBorders>
            <w:shd w:val="clear" w:color="000000" w:fill="FFFFFF"/>
            <w:vAlign w:val="center"/>
            <w:hideMark/>
          </w:tcPr>
          <w:p w:rsidR="008204CC" w:rsidRPr="00BD3151" w:rsidRDefault="008204CC" w:rsidP="00F61572">
            <w:pPr>
              <w:spacing w:after="0" w:line="240" w:lineRule="auto"/>
              <w:rPr>
                <w:rFonts w:ascii="Calibri" w:eastAsia="Times New Roman" w:hAnsi="Calibri" w:cs="Calibri"/>
                <w:sz w:val="16"/>
                <w:szCs w:val="16"/>
              </w:rPr>
            </w:pPr>
            <w:r w:rsidRPr="00BD3151">
              <w:rPr>
                <w:rFonts w:ascii="Calibri" w:eastAsia="Times New Roman" w:hAnsi="Calibri" w:cs="Calibri"/>
                <w:sz w:val="16"/>
                <w:szCs w:val="16"/>
              </w:rPr>
              <w:t>Tutorato L. 341/90 - (400 ore studenti)</w:t>
            </w:r>
          </w:p>
        </w:tc>
        <w:tc>
          <w:tcPr>
            <w:tcW w:w="1440" w:type="dxa"/>
            <w:tcBorders>
              <w:top w:val="nil"/>
              <w:left w:val="nil"/>
              <w:bottom w:val="single" w:sz="4" w:space="0" w:color="auto"/>
              <w:right w:val="single" w:sz="4" w:space="0" w:color="auto"/>
            </w:tcBorders>
            <w:shd w:val="clear" w:color="000000" w:fill="FFFFFF"/>
            <w:noWrap/>
            <w:vAlign w:val="center"/>
            <w:hideMark/>
          </w:tcPr>
          <w:p w:rsidR="008204CC" w:rsidRPr="00BD3151" w:rsidRDefault="008204CC" w:rsidP="00F61572">
            <w:pPr>
              <w:spacing w:after="0" w:line="240" w:lineRule="auto"/>
              <w:jc w:val="center"/>
              <w:rPr>
                <w:rFonts w:ascii="Calibri" w:eastAsia="Times New Roman" w:hAnsi="Calibri" w:cs="Calibri"/>
                <w:sz w:val="16"/>
                <w:szCs w:val="16"/>
              </w:rPr>
            </w:pPr>
            <w:r w:rsidRPr="00BD3151">
              <w:rPr>
                <w:rFonts w:ascii="Calibri" w:eastAsia="Times New Roman" w:hAnsi="Calibri" w:cs="Calibri"/>
                <w:sz w:val="16"/>
                <w:szCs w:val="16"/>
              </w:rPr>
              <w:t>184.500,00</w:t>
            </w:r>
          </w:p>
        </w:tc>
        <w:tc>
          <w:tcPr>
            <w:tcW w:w="1340" w:type="dxa"/>
            <w:tcBorders>
              <w:top w:val="nil"/>
              <w:left w:val="nil"/>
              <w:bottom w:val="single" w:sz="4" w:space="0" w:color="auto"/>
              <w:right w:val="single" w:sz="4" w:space="0" w:color="auto"/>
            </w:tcBorders>
            <w:shd w:val="clear" w:color="000000" w:fill="FFFFFF"/>
            <w:noWrap/>
            <w:vAlign w:val="center"/>
            <w:hideMark/>
          </w:tcPr>
          <w:p w:rsidR="008204CC" w:rsidRPr="00BD3151" w:rsidRDefault="008204CC" w:rsidP="00F61572">
            <w:pPr>
              <w:spacing w:after="0" w:line="240" w:lineRule="auto"/>
              <w:jc w:val="center"/>
              <w:rPr>
                <w:rFonts w:ascii="Calibri" w:eastAsia="Times New Roman" w:hAnsi="Calibri" w:cs="Calibri"/>
                <w:sz w:val="16"/>
                <w:szCs w:val="16"/>
              </w:rPr>
            </w:pPr>
            <w:r w:rsidRPr="00BD3151">
              <w:rPr>
                <w:rFonts w:ascii="Calibri" w:eastAsia="Times New Roman" w:hAnsi="Calibri" w:cs="Calibri"/>
                <w:sz w:val="16"/>
                <w:szCs w:val="16"/>
              </w:rPr>
              <w:t>200.061,00</w:t>
            </w:r>
          </w:p>
        </w:tc>
        <w:tc>
          <w:tcPr>
            <w:tcW w:w="940" w:type="dxa"/>
            <w:tcBorders>
              <w:top w:val="nil"/>
              <w:left w:val="nil"/>
              <w:bottom w:val="single" w:sz="4" w:space="0" w:color="auto"/>
              <w:right w:val="single" w:sz="4" w:space="0" w:color="auto"/>
            </w:tcBorders>
            <w:shd w:val="clear" w:color="000000" w:fill="FFFFFF"/>
            <w:noWrap/>
            <w:vAlign w:val="center"/>
            <w:hideMark/>
          </w:tcPr>
          <w:p w:rsidR="008204CC" w:rsidRPr="00BD3151" w:rsidRDefault="008204CC" w:rsidP="00F61572">
            <w:pPr>
              <w:spacing w:after="0" w:line="240" w:lineRule="auto"/>
              <w:jc w:val="center"/>
              <w:rPr>
                <w:rFonts w:ascii="Calibri" w:eastAsia="Times New Roman" w:hAnsi="Calibri" w:cs="Calibri"/>
                <w:sz w:val="16"/>
                <w:szCs w:val="16"/>
              </w:rPr>
            </w:pPr>
            <w:r w:rsidRPr="00BD3151">
              <w:rPr>
                <w:rFonts w:ascii="Calibri" w:eastAsia="Times New Roman" w:hAnsi="Calibri" w:cs="Calibri"/>
                <w:sz w:val="16"/>
                <w:szCs w:val="16"/>
              </w:rPr>
              <w:t>-7,78%</w:t>
            </w:r>
          </w:p>
        </w:tc>
      </w:tr>
      <w:tr w:rsidR="008204CC" w:rsidRPr="00BD3151" w:rsidTr="00F61572">
        <w:trPr>
          <w:trHeight w:val="402"/>
        </w:trPr>
        <w:tc>
          <w:tcPr>
            <w:tcW w:w="3160" w:type="dxa"/>
            <w:tcBorders>
              <w:top w:val="nil"/>
              <w:left w:val="single" w:sz="4" w:space="0" w:color="auto"/>
              <w:bottom w:val="single" w:sz="4" w:space="0" w:color="auto"/>
              <w:right w:val="single" w:sz="4" w:space="0" w:color="auto"/>
            </w:tcBorders>
            <w:shd w:val="clear" w:color="000000" w:fill="FFFFFF"/>
            <w:vAlign w:val="center"/>
            <w:hideMark/>
          </w:tcPr>
          <w:p w:rsidR="008204CC" w:rsidRPr="00BD3151" w:rsidRDefault="008204CC" w:rsidP="00F61572">
            <w:pPr>
              <w:spacing w:after="0" w:line="240" w:lineRule="auto"/>
              <w:rPr>
                <w:rFonts w:ascii="Calibri" w:eastAsia="Times New Roman" w:hAnsi="Calibri" w:cs="Calibri"/>
                <w:sz w:val="16"/>
                <w:szCs w:val="16"/>
              </w:rPr>
            </w:pPr>
            <w:r w:rsidRPr="00BD3151">
              <w:rPr>
                <w:rFonts w:ascii="Calibri" w:eastAsia="Times New Roman" w:hAnsi="Calibri" w:cs="Calibri"/>
                <w:sz w:val="16"/>
                <w:szCs w:val="16"/>
              </w:rPr>
              <w:t>Tutoraggio e didattica integrativa art. 45</w:t>
            </w:r>
          </w:p>
        </w:tc>
        <w:tc>
          <w:tcPr>
            <w:tcW w:w="1440" w:type="dxa"/>
            <w:tcBorders>
              <w:top w:val="nil"/>
              <w:left w:val="nil"/>
              <w:bottom w:val="single" w:sz="4" w:space="0" w:color="auto"/>
              <w:right w:val="single" w:sz="4" w:space="0" w:color="auto"/>
            </w:tcBorders>
            <w:shd w:val="clear" w:color="000000" w:fill="FFFFFF"/>
            <w:noWrap/>
            <w:vAlign w:val="center"/>
            <w:hideMark/>
          </w:tcPr>
          <w:p w:rsidR="008204CC" w:rsidRPr="00BD3151" w:rsidRDefault="008204CC" w:rsidP="00F61572">
            <w:pPr>
              <w:spacing w:after="0" w:line="240" w:lineRule="auto"/>
              <w:jc w:val="center"/>
              <w:rPr>
                <w:rFonts w:ascii="Calibri" w:eastAsia="Times New Roman" w:hAnsi="Calibri" w:cs="Calibri"/>
                <w:sz w:val="16"/>
                <w:szCs w:val="16"/>
              </w:rPr>
            </w:pPr>
            <w:r w:rsidRPr="00BD3151">
              <w:rPr>
                <w:rFonts w:ascii="Calibri" w:eastAsia="Times New Roman" w:hAnsi="Calibri" w:cs="Calibri"/>
                <w:sz w:val="16"/>
                <w:szCs w:val="16"/>
              </w:rPr>
              <w:t>1.581.589,31</w:t>
            </w:r>
          </w:p>
        </w:tc>
        <w:tc>
          <w:tcPr>
            <w:tcW w:w="1340" w:type="dxa"/>
            <w:tcBorders>
              <w:top w:val="nil"/>
              <w:left w:val="nil"/>
              <w:bottom w:val="single" w:sz="4" w:space="0" w:color="auto"/>
              <w:right w:val="single" w:sz="4" w:space="0" w:color="auto"/>
            </w:tcBorders>
            <w:shd w:val="clear" w:color="000000" w:fill="FFFFFF"/>
            <w:noWrap/>
            <w:vAlign w:val="center"/>
            <w:hideMark/>
          </w:tcPr>
          <w:p w:rsidR="008204CC" w:rsidRPr="00BD3151" w:rsidRDefault="008204CC" w:rsidP="00F61572">
            <w:pPr>
              <w:spacing w:after="0" w:line="240" w:lineRule="auto"/>
              <w:jc w:val="center"/>
              <w:rPr>
                <w:rFonts w:ascii="Calibri" w:eastAsia="Times New Roman" w:hAnsi="Calibri" w:cs="Calibri"/>
                <w:sz w:val="16"/>
                <w:szCs w:val="16"/>
              </w:rPr>
            </w:pPr>
            <w:r w:rsidRPr="00BD3151">
              <w:rPr>
                <w:rFonts w:ascii="Calibri" w:eastAsia="Times New Roman" w:hAnsi="Calibri" w:cs="Calibri"/>
                <w:sz w:val="16"/>
                <w:szCs w:val="16"/>
              </w:rPr>
              <w:t>1.714.748,41</w:t>
            </w:r>
          </w:p>
        </w:tc>
        <w:tc>
          <w:tcPr>
            <w:tcW w:w="940" w:type="dxa"/>
            <w:tcBorders>
              <w:top w:val="nil"/>
              <w:left w:val="nil"/>
              <w:bottom w:val="single" w:sz="4" w:space="0" w:color="auto"/>
              <w:right w:val="single" w:sz="4" w:space="0" w:color="auto"/>
            </w:tcBorders>
            <w:shd w:val="clear" w:color="000000" w:fill="FFFFFF"/>
            <w:noWrap/>
            <w:vAlign w:val="center"/>
            <w:hideMark/>
          </w:tcPr>
          <w:p w:rsidR="008204CC" w:rsidRPr="00BD3151" w:rsidRDefault="008204CC" w:rsidP="00F61572">
            <w:pPr>
              <w:spacing w:after="0" w:line="240" w:lineRule="auto"/>
              <w:jc w:val="center"/>
              <w:rPr>
                <w:rFonts w:ascii="Calibri" w:eastAsia="Times New Roman" w:hAnsi="Calibri" w:cs="Calibri"/>
                <w:sz w:val="16"/>
                <w:szCs w:val="16"/>
              </w:rPr>
            </w:pPr>
            <w:r w:rsidRPr="00BD3151">
              <w:rPr>
                <w:rFonts w:ascii="Calibri" w:eastAsia="Times New Roman" w:hAnsi="Calibri" w:cs="Calibri"/>
                <w:sz w:val="16"/>
                <w:szCs w:val="16"/>
              </w:rPr>
              <w:t>-7,77%</w:t>
            </w:r>
          </w:p>
        </w:tc>
      </w:tr>
      <w:tr w:rsidR="008204CC" w:rsidRPr="00BD3151" w:rsidTr="00F61572">
        <w:trPr>
          <w:trHeight w:val="402"/>
        </w:trPr>
        <w:tc>
          <w:tcPr>
            <w:tcW w:w="3160" w:type="dxa"/>
            <w:tcBorders>
              <w:top w:val="nil"/>
              <w:left w:val="single" w:sz="4" w:space="0" w:color="auto"/>
              <w:bottom w:val="single" w:sz="4" w:space="0" w:color="auto"/>
              <w:right w:val="single" w:sz="4" w:space="0" w:color="auto"/>
            </w:tcBorders>
            <w:shd w:val="clear" w:color="000000" w:fill="FFFFFF"/>
            <w:vAlign w:val="center"/>
            <w:hideMark/>
          </w:tcPr>
          <w:p w:rsidR="008204CC" w:rsidRPr="00BD3151" w:rsidRDefault="008204CC" w:rsidP="00F61572">
            <w:pPr>
              <w:spacing w:after="0" w:line="240" w:lineRule="auto"/>
              <w:rPr>
                <w:rFonts w:ascii="Calibri" w:eastAsia="Times New Roman" w:hAnsi="Calibri" w:cs="Calibri"/>
                <w:sz w:val="16"/>
                <w:szCs w:val="16"/>
              </w:rPr>
            </w:pPr>
            <w:r w:rsidRPr="00BD3151">
              <w:rPr>
                <w:rFonts w:ascii="Calibri" w:eastAsia="Times New Roman" w:hAnsi="Calibri" w:cs="Calibri"/>
                <w:sz w:val="16"/>
                <w:szCs w:val="16"/>
              </w:rPr>
              <w:t>Tirocini Formativi Curriculari e Extracurriculari</w:t>
            </w:r>
          </w:p>
        </w:tc>
        <w:tc>
          <w:tcPr>
            <w:tcW w:w="1440" w:type="dxa"/>
            <w:tcBorders>
              <w:top w:val="nil"/>
              <w:left w:val="nil"/>
              <w:bottom w:val="single" w:sz="4" w:space="0" w:color="auto"/>
              <w:right w:val="single" w:sz="4" w:space="0" w:color="auto"/>
            </w:tcBorders>
            <w:shd w:val="clear" w:color="000000" w:fill="FFFFFF"/>
            <w:noWrap/>
            <w:vAlign w:val="center"/>
            <w:hideMark/>
          </w:tcPr>
          <w:p w:rsidR="008204CC" w:rsidRPr="00BD3151" w:rsidRDefault="008204CC" w:rsidP="00F61572">
            <w:pPr>
              <w:spacing w:after="0" w:line="240" w:lineRule="auto"/>
              <w:jc w:val="center"/>
              <w:rPr>
                <w:rFonts w:ascii="Calibri" w:eastAsia="Times New Roman" w:hAnsi="Calibri" w:cs="Calibri"/>
                <w:sz w:val="16"/>
                <w:szCs w:val="16"/>
              </w:rPr>
            </w:pPr>
            <w:r w:rsidRPr="00BD3151">
              <w:rPr>
                <w:rFonts w:ascii="Calibri" w:eastAsia="Times New Roman" w:hAnsi="Calibri" w:cs="Calibri"/>
                <w:sz w:val="16"/>
                <w:szCs w:val="16"/>
              </w:rPr>
              <w:t>71.465,35</w:t>
            </w:r>
          </w:p>
        </w:tc>
        <w:tc>
          <w:tcPr>
            <w:tcW w:w="1340" w:type="dxa"/>
            <w:tcBorders>
              <w:top w:val="nil"/>
              <w:left w:val="nil"/>
              <w:bottom w:val="single" w:sz="4" w:space="0" w:color="auto"/>
              <w:right w:val="single" w:sz="4" w:space="0" w:color="auto"/>
            </w:tcBorders>
            <w:shd w:val="clear" w:color="000000" w:fill="FFFFFF"/>
            <w:noWrap/>
            <w:vAlign w:val="center"/>
            <w:hideMark/>
          </w:tcPr>
          <w:p w:rsidR="008204CC" w:rsidRPr="00BD3151" w:rsidRDefault="008204CC" w:rsidP="00F61572">
            <w:pPr>
              <w:spacing w:after="0" w:line="240" w:lineRule="auto"/>
              <w:jc w:val="center"/>
              <w:rPr>
                <w:rFonts w:ascii="Calibri" w:eastAsia="Times New Roman" w:hAnsi="Calibri" w:cs="Calibri"/>
                <w:sz w:val="16"/>
                <w:szCs w:val="16"/>
              </w:rPr>
            </w:pPr>
            <w:r w:rsidRPr="00BD3151">
              <w:rPr>
                <w:rFonts w:ascii="Calibri" w:eastAsia="Times New Roman" w:hAnsi="Calibri" w:cs="Calibri"/>
                <w:sz w:val="16"/>
                <w:szCs w:val="16"/>
              </w:rPr>
              <w:t>131.617,73</w:t>
            </w:r>
          </w:p>
        </w:tc>
        <w:tc>
          <w:tcPr>
            <w:tcW w:w="940" w:type="dxa"/>
            <w:tcBorders>
              <w:top w:val="nil"/>
              <w:left w:val="nil"/>
              <w:bottom w:val="single" w:sz="4" w:space="0" w:color="auto"/>
              <w:right w:val="single" w:sz="4" w:space="0" w:color="auto"/>
            </w:tcBorders>
            <w:shd w:val="clear" w:color="000000" w:fill="FFFFFF"/>
            <w:noWrap/>
            <w:vAlign w:val="center"/>
            <w:hideMark/>
          </w:tcPr>
          <w:p w:rsidR="008204CC" w:rsidRPr="00BD3151" w:rsidRDefault="008204CC" w:rsidP="00F61572">
            <w:pPr>
              <w:spacing w:after="0" w:line="240" w:lineRule="auto"/>
              <w:jc w:val="center"/>
              <w:rPr>
                <w:rFonts w:ascii="Calibri" w:eastAsia="Times New Roman" w:hAnsi="Calibri" w:cs="Calibri"/>
                <w:sz w:val="16"/>
                <w:szCs w:val="16"/>
              </w:rPr>
            </w:pPr>
            <w:r w:rsidRPr="00BD3151">
              <w:rPr>
                <w:rFonts w:ascii="Calibri" w:eastAsia="Times New Roman" w:hAnsi="Calibri" w:cs="Calibri"/>
                <w:sz w:val="16"/>
                <w:szCs w:val="16"/>
              </w:rPr>
              <w:t>-45,70%</w:t>
            </w:r>
          </w:p>
        </w:tc>
      </w:tr>
      <w:tr w:rsidR="008204CC" w:rsidRPr="00BD3151" w:rsidTr="00F61572">
        <w:trPr>
          <w:trHeight w:val="402"/>
        </w:trPr>
        <w:tc>
          <w:tcPr>
            <w:tcW w:w="3160" w:type="dxa"/>
            <w:tcBorders>
              <w:top w:val="nil"/>
              <w:left w:val="single" w:sz="4" w:space="0" w:color="auto"/>
              <w:bottom w:val="single" w:sz="4" w:space="0" w:color="auto"/>
              <w:right w:val="single" w:sz="4" w:space="0" w:color="auto"/>
            </w:tcBorders>
            <w:shd w:val="clear" w:color="000000" w:fill="9BC2E6"/>
            <w:noWrap/>
            <w:vAlign w:val="center"/>
            <w:hideMark/>
          </w:tcPr>
          <w:p w:rsidR="008204CC" w:rsidRPr="00BD3151" w:rsidRDefault="008204CC" w:rsidP="00F61572">
            <w:pPr>
              <w:spacing w:after="0" w:line="240" w:lineRule="auto"/>
              <w:rPr>
                <w:rFonts w:ascii="Calibri" w:eastAsia="Times New Roman" w:hAnsi="Calibri" w:cs="Calibri"/>
                <w:b/>
                <w:bCs/>
                <w:sz w:val="16"/>
                <w:szCs w:val="16"/>
              </w:rPr>
            </w:pPr>
            <w:r w:rsidRPr="00BD3151">
              <w:rPr>
                <w:rFonts w:ascii="Calibri" w:eastAsia="Times New Roman" w:hAnsi="Calibri" w:cs="Calibri"/>
                <w:b/>
                <w:bCs/>
                <w:sz w:val="16"/>
                <w:szCs w:val="16"/>
              </w:rPr>
              <w:t>TOTALE COSTO</w:t>
            </w:r>
          </w:p>
        </w:tc>
        <w:tc>
          <w:tcPr>
            <w:tcW w:w="1440" w:type="dxa"/>
            <w:tcBorders>
              <w:top w:val="nil"/>
              <w:left w:val="nil"/>
              <w:bottom w:val="single" w:sz="4" w:space="0" w:color="auto"/>
              <w:right w:val="single" w:sz="4" w:space="0" w:color="auto"/>
            </w:tcBorders>
            <w:shd w:val="clear" w:color="000000" w:fill="9BC2E6"/>
            <w:vAlign w:val="center"/>
            <w:hideMark/>
          </w:tcPr>
          <w:p w:rsidR="008204CC" w:rsidRPr="00BD3151" w:rsidRDefault="008204CC" w:rsidP="00F61572">
            <w:pPr>
              <w:spacing w:after="0" w:line="240" w:lineRule="auto"/>
              <w:jc w:val="center"/>
              <w:rPr>
                <w:rFonts w:ascii="Calibri" w:eastAsia="Times New Roman" w:hAnsi="Calibri" w:cs="Calibri"/>
                <w:b/>
                <w:bCs/>
                <w:sz w:val="16"/>
                <w:szCs w:val="16"/>
              </w:rPr>
            </w:pPr>
            <w:r w:rsidRPr="00BD3151">
              <w:rPr>
                <w:rFonts w:ascii="Calibri" w:eastAsia="Times New Roman" w:hAnsi="Calibri" w:cs="Calibri"/>
                <w:b/>
                <w:bCs/>
                <w:sz w:val="16"/>
                <w:szCs w:val="16"/>
              </w:rPr>
              <w:t>2.009.052,46</w:t>
            </w:r>
          </w:p>
        </w:tc>
        <w:tc>
          <w:tcPr>
            <w:tcW w:w="1340" w:type="dxa"/>
            <w:tcBorders>
              <w:top w:val="nil"/>
              <w:left w:val="nil"/>
              <w:bottom w:val="single" w:sz="4" w:space="0" w:color="auto"/>
              <w:right w:val="single" w:sz="4" w:space="0" w:color="auto"/>
            </w:tcBorders>
            <w:shd w:val="clear" w:color="000000" w:fill="9BC2E6"/>
            <w:vAlign w:val="center"/>
            <w:hideMark/>
          </w:tcPr>
          <w:p w:rsidR="008204CC" w:rsidRPr="00BD3151" w:rsidRDefault="008204CC" w:rsidP="00F61572">
            <w:pPr>
              <w:spacing w:after="0" w:line="240" w:lineRule="auto"/>
              <w:jc w:val="center"/>
              <w:rPr>
                <w:rFonts w:ascii="Calibri" w:eastAsia="Times New Roman" w:hAnsi="Calibri" w:cs="Calibri"/>
                <w:b/>
                <w:bCs/>
                <w:sz w:val="16"/>
                <w:szCs w:val="16"/>
              </w:rPr>
            </w:pPr>
            <w:r w:rsidRPr="00BD3151">
              <w:rPr>
                <w:rFonts w:ascii="Calibri" w:eastAsia="Times New Roman" w:hAnsi="Calibri" w:cs="Calibri"/>
                <w:b/>
                <w:bCs/>
                <w:sz w:val="16"/>
                <w:szCs w:val="16"/>
              </w:rPr>
              <w:t>2.638.968,78</w:t>
            </w:r>
          </w:p>
        </w:tc>
        <w:tc>
          <w:tcPr>
            <w:tcW w:w="940" w:type="dxa"/>
            <w:tcBorders>
              <w:top w:val="nil"/>
              <w:left w:val="nil"/>
              <w:bottom w:val="single" w:sz="4" w:space="0" w:color="auto"/>
              <w:right w:val="single" w:sz="4" w:space="0" w:color="auto"/>
            </w:tcBorders>
            <w:shd w:val="clear" w:color="000000" w:fill="9BC2E6"/>
            <w:vAlign w:val="center"/>
            <w:hideMark/>
          </w:tcPr>
          <w:p w:rsidR="008204CC" w:rsidRPr="00BD3151" w:rsidRDefault="008204CC" w:rsidP="00F61572">
            <w:pPr>
              <w:spacing w:after="0" w:line="240" w:lineRule="auto"/>
              <w:jc w:val="center"/>
              <w:rPr>
                <w:rFonts w:ascii="Calibri" w:eastAsia="Times New Roman" w:hAnsi="Calibri" w:cs="Calibri"/>
                <w:b/>
                <w:bCs/>
                <w:sz w:val="16"/>
                <w:szCs w:val="16"/>
              </w:rPr>
            </w:pPr>
            <w:r w:rsidRPr="00BD3151">
              <w:rPr>
                <w:rFonts w:ascii="Calibri" w:eastAsia="Times New Roman" w:hAnsi="Calibri" w:cs="Calibri"/>
                <w:b/>
                <w:bCs/>
                <w:sz w:val="16"/>
                <w:szCs w:val="16"/>
              </w:rPr>
              <w:t>-23,87%</w:t>
            </w:r>
          </w:p>
        </w:tc>
      </w:tr>
    </w:tbl>
    <w:p w:rsidR="008204CC" w:rsidRPr="008204CC" w:rsidRDefault="008204CC" w:rsidP="008204CC">
      <w:pPr>
        <w:spacing w:before="360" w:after="0"/>
        <w:jc w:val="both"/>
        <w:rPr>
          <w:rFonts w:cstheme="minorHAnsi"/>
        </w:rPr>
      </w:pPr>
      <w:r w:rsidRPr="008204CC">
        <w:rPr>
          <w:rFonts w:cstheme="minorHAnsi"/>
        </w:rPr>
        <w:t>La riduzione delle collaborazioni e dei tirocini è chiaramente connessa alla prolungata chiusura delle strutture e alle difficoltà d’inserimento degli studenti nelle imprese e negli enti a seguito dell’emergenza sanitaria.</w:t>
      </w:r>
    </w:p>
    <w:p w:rsidR="00B949A6" w:rsidRPr="008204CC" w:rsidRDefault="009271FA" w:rsidP="008249BA">
      <w:pPr>
        <w:spacing w:after="0" w:line="240" w:lineRule="auto"/>
        <w:jc w:val="both"/>
        <w:rPr>
          <w:rFonts w:asciiTheme="minorHAnsi" w:hAnsiTheme="minorHAnsi" w:cstheme="minorHAnsi"/>
          <w:sz w:val="22"/>
        </w:rPr>
      </w:pPr>
      <w:r w:rsidRPr="008204CC">
        <w:rPr>
          <w:rFonts w:asciiTheme="minorHAnsi" w:hAnsiTheme="minorHAnsi" w:cstheme="minorHAnsi"/>
          <w:sz w:val="22"/>
        </w:rPr>
        <w:t>______________</w:t>
      </w:r>
    </w:p>
    <w:p w:rsidR="00B949A6" w:rsidRPr="009B6196" w:rsidRDefault="00B949A6" w:rsidP="008249BA">
      <w:pPr>
        <w:spacing w:after="0" w:line="240" w:lineRule="auto"/>
        <w:jc w:val="both"/>
        <w:rPr>
          <w:rFonts w:asciiTheme="minorHAnsi" w:hAnsiTheme="minorHAnsi" w:cstheme="minorHAnsi"/>
          <w:sz w:val="22"/>
          <w:highlight w:val="yellow"/>
        </w:rPr>
      </w:pPr>
    </w:p>
    <w:p w:rsidR="0048122A" w:rsidRPr="00F61572" w:rsidRDefault="0048122A" w:rsidP="0048122A">
      <w:pPr>
        <w:ind w:left="0" w:firstLine="0"/>
      </w:pPr>
      <w:r w:rsidRPr="00F61572">
        <w:rPr>
          <w:b/>
        </w:rPr>
        <w:t xml:space="preserve">IX) COSTI DELLA GESTIONE CORRENTE </w:t>
      </w:r>
      <w:r w:rsidR="004E1C83" w:rsidRPr="00F61572">
        <w:t>(pgg. 144-158</w:t>
      </w:r>
      <w:r w:rsidRPr="00F61572">
        <w:t>)</w:t>
      </w:r>
      <w:r w:rsidR="00F61572" w:rsidRPr="00F61572">
        <w:t xml:space="preserve"> = 190,9</w:t>
      </w:r>
      <w:r w:rsidR="00091DC5" w:rsidRPr="00F61572">
        <w:t xml:space="preserve"> </w:t>
      </w:r>
      <w:r w:rsidR="00F61572" w:rsidRPr="00F61572">
        <w:t>M (-7,1</w:t>
      </w:r>
      <w:r w:rsidRPr="00F61572">
        <w:t>):</w:t>
      </w:r>
    </w:p>
    <w:p w:rsidR="0048122A" w:rsidRPr="00F61572" w:rsidRDefault="0048122A" w:rsidP="0048122A">
      <w:pPr>
        <w:ind w:left="0" w:firstLine="0"/>
      </w:pPr>
      <w:r w:rsidRPr="00F61572">
        <w:rPr>
          <w:b/>
        </w:rPr>
        <w:t>1) Costi per sostegno agli studenti</w:t>
      </w:r>
      <w:r w:rsidR="00F61572" w:rsidRPr="00F61572">
        <w:t xml:space="preserve"> 69,9</w:t>
      </w:r>
      <w:r w:rsidR="00394FA0" w:rsidRPr="00F61572">
        <w:t xml:space="preserve"> M </w:t>
      </w:r>
      <w:r w:rsidR="00F61572" w:rsidRPr="00F61572">
        <w:t>(+</w:t>
      </w:r>
      <w:r w:rsidR="00394FA0" w:rsidRPr="00F61572">
        <w:t>3</w:t>
      </w:r>
      <w:r w:rsidR="00F61572" w:rsidRPr="00F61572">
        <w:t>,9</w:t>
      </w:r>
      <w:r w:rsidRPr="00F61572">
        <w:t>)</w:t>
      </w:r>
      <w:r w:rsidR="001C0B57" w:rsidRPr="00F61572">
        <w:t>:</w:t>
      </w:r>
    </w:p>
    <w:p w:rsidR="00FD2172" w:rsidRPr="00C85618" w:rsidRDefault="00C85618" w:rsidP="00D91C43">
      <w:pPr>
        <w:pStyle w:val="Paragrafoelenco"/>
        <w:numPr>
          <w:ilvl w:val="0"/>
          <w:numId w:val="12"/>
        </w:numPr>
      </w:pPr>
      <w:r w:rsidRPr="00C85618">
        <w:t>Dottorato 16</w:t>
      </w:r>
      <w:r w:rsidR="00394FA0" w:rsidRPr="00C85618">
        <w:t xml:space="preserve"> </w:t>
      </w:r>
      <w:r w:rsidR="00FD2172" w:rsidRPr="00C85618">
        <w:t>M (</w:t>
      </w:r>
      <w:r w:rsidRPr="00C85618">
        <w:t>+0,2</w:t>
      </w:r>
      <w:r w:rsidR="00FD2172" w:rsidRPr="00C85618">
        <w:t>);</w:t>
      </w:r>
    </w:p>
    <w:p w:rsidR="00FD2172" w:rsidRPr="00C85618" w:rsidRDefault="00D91C43" w:rsidP="00D91C43">
      <w:pPr>
        <w:pStyle w:val="Paragrafoelenco"/>
        <w:numPr>
          <w:ilvl w:val="0"/>
          <w:numId w:val="12"/>
        </w:numPr>
      </w:pPr>
      <w:r w:rsidRPr="00C85618">
        <w:t xml:space="preserve">Specializzazione area medica 43,3 </w:t>
      </w:r>
      <w:r w:rsidR="00F61572" w:rsidRPr="00C85618">
        <w:t>M (+3,2</w:t>
      </w:r>
      <w:r w:rsidRPr="00C85618">
        <w:t>;</w:t>
      </w:r>
      <w:r w:rsidR="00FD2172" w:rsidRPr="00C85618">
        <w:t xml:space="preserve"> finanziato da MEF);</w:t>
      </w:r>
    </w:p>
    <w:p w:rsidR="00FD2172" w:rsidRPr="00C85618" w:rsidRDefault="00FD2172" w:rsidP="00D91C43">
      <w:pPr>
        <w:pStyle w:val="Paragrafoelenco"/>
        <w:numPr>
          <w:ilvl w:val="0"/>
          <w:numId w:val="12"/>
        </w:numPr>
      </w:pPr>
      <w:r w:rsidRPr="00C85618">
        <w:t>Era</w:t>
      </w:r>
      <w:r w:rsidR="00D91C43" w:rsidRPr="00C85618">
        <w:t>sm</w:t>
      </w:r>
      <w:r w:rsidR="00C85618" w:rsidRPr="00C85618">
        <w:t>us e mobilità internazionale 2,9 M (-0,3</w:t>
      </w:r>
      <w:r w:rsidR="00D91C43" w:rsidRPr="00C85618">
        <w:t>; dal 2019 viene erogata solo il 70% della borsa anziché il 100%)</w:t>
      </w:r>
      <w:r w:rsidR="00854F7A" w:rsidRPr="00C85618">
        <w:t>.</w:t>
      </w:r>
    </w:p>
    <w:p w:rsidR="0048122A" w:rsidRPr="00F61572" w:rsidRDefault="0048122A" w:rsidP="0048122A">
      <w:pPr>
        <w:ind w:left="0" w:firstLine="0"/>
      </w:pPr>
      <w:r w:rsidRPr="00F61572">
        <w:rPr>
          <w:b/>
        </w:rPr>
        <w:t xml:space="preserve">2) Costi per il diritto allo studio </w:t>
      </w:r>
      <w:r w:rsidR="00F61572" w:rsidRPr="00F61572">
        <w:t>20,8 M (-0,8</w:t>
      </w:r>
      <w:r w:rsidRPr="00F61572">
        <w:t>)</w:t>
      </w:r>
      <w:r w:rsidR="001C0B57" w:rsidRPr="00F61572">
        <w:t>:</w:t>
      </w:r>
    </w:p>
    <w:p w:rsidR="00854F7A" w:rsidRPr="00B921DC" w:rsidRDefault="00854F7A" w:rsidP="00E5299A">
      <w:pPr>
        <w:pStyle w:val="Paragrafoelenco"/>
        <w:numPr>
          <w:ilvl w:val="0"/>
          <w:numId w:val="13"/>
        </w:numPr>
      </w:pPr>
      <w:r w:rsidRPr="00B921DC">
        <w:t xml:space="preserve">Borse integrative d’Ateneo </w:t>
      </w:r>
      <w:r w:rsidR="00D91C43" w:rsidRPr="00B921DC">
        <w:t xml:space="preserve">(comprensivo di borse Erasmus) </w:t>
      </w:r>
      <w:r w:rsidR="00B921DC" w:rsidRPr="00B921DC">
        <w:t>2,3</w:t>
      </w:r>
      <w:r w:rsidR="00D91C43" w:rsidRPr="00B921DC">
        <w:t xml:space="preserve"> M (</w:t>
      </w:r>
      <w:r w:rsidR="00B921DC" w:rsidRPr="00B921DC">
        <w:t>+0,2</w:t>
      </w:r>
      <w:r w:rsidRPr="00B921DC">
        <w:t>)</w:t>
      </w:r>
      <w:r w:rsidR="006F3BC7" w:rsidRPr="00B921DC">
        <w:t>;</w:t>
      </w:r>
    </w:p>
    <w:p w:rsidR="00611BD0" w:rsidRPr="00B921DC" w:rsidRDefault="00854F7A" w:rsidP="00E5299A">
      <w:pPr>
        <w:pStyle w:val="Paragrafoelenco"/>
        <w:numPr>
          <w:ilvl w:val="0"/>
          <w:numId w:val="13"/>
        </w:numPr>
      </w:pPr>
      <w:r w:rsidRPr="00B921DC">
        <w:t>Bor</w:t>
      </w:r>
      <w:r w:rsidR="00E5299A" w:rsidRPr="00B921DC">
        <w:t>se per il d</w:t>
      </w:r>
      <w:r w:rsidR="00B921DC" w:rsidRPr="00B921DC">
        <w:t>iritto allo Studio 15,1</w:t>
      </w:r>
      <w:r w:rsidR="00D91C43" w:rsidRPr="00B921DC">
        <w:t xml:space="preserve"> </w:t>
      </w:r>
      <w:r w:rsidRPr="00B921DC">
        <w:t xml:space="preserve">M </w:t>
      </w:r>
      <w:r w:rsidR="00D91C43" w:rsidRPr="00B921DC">
        <w:t>(+</w:t>
      </w:r>
      <w:r w:rsidR="00B921DC" w:rsidRPr="00B921DC">
        <w:t>0</w:t>
      </w:r>
      <w:r w:rsidR="00D91C43" w:rsidRPr="00B921DC">
        <w:t xml:space="preserve">,9) </w:t>
      </w:r>
      <w:r w:rsidRPr="00B921DC">
        <w:t>(la Regione ha finanziato parzialmente le borse</w:t>
      </w:r>
      <w:r w:rsidR="00B921DC" w:rsidRPr="00B921DC">
        <w:t xml:space="preserve"> per 14,7</w:t>
      </w:r>
      <w:r w:rsidR="00E5299A" w:rsidRPr="00B921DC">
        <w:t xml:space="preserve"> M</w:t>
      </w:r>
      <w:r w:rsidRPr="00B921DC">
        <w:t>, UniMi ha dovuto coprire gli aventi diritto esclusi con risorse proprie</w:t>
      </w:r>
      <w:r w:rsidR="00B921DC" w:rsidRPr="00B921DC">
        <w:t xml:space="preserve"> per 400.000 €</w:t>
      </w:r>
      <w:r w:rsidR="00E5299A" w:rsidRPr="00B921DC">
        <w:t>)</w:t>
      </w:r>
      <w:r w:rsidR="00611BD0" w:rsidRPr="00B921DC">
        <w:t>;</w:t>
      </w:r>
      <w:r w:rsidR="00E5299A" w:rsidRPr="00B921DC">
        <w:t xml:space="preserve"> </w:t>
      </w:r>
    </w:p>
    <w:p w:rsidR="00854F7A" w:rsidRPr="00B921DC" w:rsidRDefault="00854F7A" w:rsidP="00E5299A">
      <w:pPr>
        <w:pStyle w:val="Paragrafoelenco"/>
        <w:numPr>
          <w:ilvl w:val="0"/>
          <w:numId w:val="13"/>
        </w:numPr>
      </w:pPr>
      <w:r w:rsidRPr="00B921DC">
        <w:t xml:space="preserve">Servizio mensa e alberghieri per il diritto allo Studio </w:t>
      </w:r>
      <w:r w:rsidR="00B921DC" w:rsidRPr="00B921DC">
        <w:t>3,2</w:t>
      </w:r>
      <w:r w:rsidR="00D91C43" w:rsidRPr="00B921DC">
        <w:t xml:space="preserve"> </w:t>
      </w:r>
      <w:r w:rsidRPr="00B921DC">
        <w:t xml:space="preserve">M </w:t>
      </w:r>
      <w:r w:rsidR="00B921DC" w:rsidRPr="00B921DC">
        <w:t>(+1</w:t>
      </w:r>
      <w:r w:rsidR="00D91C43" w:rsidRPr="00B921DC">
        <w:t xml:space="preserve">) </w:t>
      </w:r>
      <w:r w:rsidRPr="00B921DC">
        <w:t>(il finanziamen</w:t>
      </w:r>
      <w:r w:rsidR="00D91C43" w:rsidRPr="00B921DC">
        <w:t xml:space="preserve">to della Regione </w:t>
      </w:r>
      <w:r w:rsidR="00B921DC" w:rsidRPr="00B921DC">
        <w:t>ha coperto l’intera spesa</w:t>
      </w:r>
      <w:r w:rsidRPr="00B921DC">
        <w:t>)</w:t>
      </w:r>
      <w:r w:rsidR="00B921DC" w:rsidRPr="00B921DC">
        <w:t>.</w:t>
      </w:r>
    </w:p>
    <w:p w:rsidR="00B921DC" w:rsidRDefault="00B921DC" w:rsidP="0048122A">
      <w:pPr>
        <w:ind w:left="0" w:firstLine="0"/>
      </w:pPr>
      <w:r w:rsidRPr="00B921DC">
        <w:rPr>
          <w:b/>
        </w:rPr>
        <w:t>3) Costi per l’attività editoriale</w:t>
      </w:r>
      <w:r>
        <w:rPr>
          <w:b/>
        </w:rPr>
        <w:t xml:space="preserve"> </w:t>
      </w:r>
      <w:r>
        <w:t>1,2 M (+0,9)</w:t>
      </w:r>
    </w:p>
    <w:p w:rsidR="00B921DC" w:rsidRPr="00B921DC" w:rsidRDefault="006036D1" w:rsidP="006036D1">
      <w:pPr>
        <w:pStyle w:val="Paragrafoelenco"/>
        <w:numPr>
          <w:ilvl w:val="0"/>
          <w:numId w:val="23"/>
        </w:numPr>
      </w:pPr>
      <w:r>
        <w:t>Pubblicazioni in open acces 0,7 M (+0,7; novità)</w:t>
      </w:r>
    </w:p>
    <w:p w:rsidR="0048122A" w:rsidRPr="00F61572" w:rsidRDefault="0048122A" w:rsidP="0048122A">
      <w:pPr>
        <w:ind w:left="0" w:firstLine="0"/>
      </w:pPr>
      <w:r w:rsidRPr="00F61572">
        <w:rPr>
          <w:b/>
        </w:rPr>
        <w:t>4) Trasferimenti a partener di progetti coordinati</w:t>
      </w:r>
      <w:r w:rsidR="00854F7A" w:rsidRPr="00F61572">
        <w:rPr>
          <w:b/>
        </w:rPr>
        <w:t xml:space="preserve"> </w:t>
      </w:r>
      <w:r w:rsidR="00F61572" w:rsidRPr="00F61572">
        <w:t>11,9 M (-3,9</w:t>
      </w:r>
      <w:r w:rsidR="00854F7A" w:rsidRPr="00F61572">
        <w:t>)</w:t>
      </w:r>
      <w:r w:rsidR="001C0B57" w:rsidRPr="00F61572">
        <w:t>:</w:t>
      </w:r>
    </w:p>
    <w:p w:rsidR="00854F7A" w:rsidRPr="006036D1" w:rsidRDefault="00854F7A" w:rsidP="00854F7A">
      <w:pPr>
        <w:jc w:val="both"/>
        <w:rPr>
          <w:color w:val="auto"/>
        </w:rPr>
      </w:pPr>
      <w:r w:rsidRPr="006036D1">
        <w:t>(trasferimenti disposti sui progetti, nazionali e internazionali, coordinati dall’Università, alle diverse unità operative previste negli accordi contrattuali)</w:t>
      </w:r>
      <w:r w:rsidR="00611BD0" w:rsidRPr="006036D1">
        <w:t>.</w:t>
      </w:r>
      <w:r w:rsidR="00E5299A" w:rsidRPr="006036D1">
        <w:t xml:space="preserve"> </w:t>
      </w:r>
      <w:r w:rsidR="00611BD0" w:rsidRPr="006036D1">
        <w:rPr>
          <w:color w:val="auto"/>
        </w:rPr>
        <w:t xml:space="preserve">Questa spesa è </w:t>
      </w:r>
      <w:r w:rsidR="006036D1" w:rsidRPr="006036D1">
        <w:rPr>
          <w:color w:val="auto"/>
        </w:rPr>
        <w:t xml:space="preserve">principalmente </w:t>
      </w:r>
      <w:r w:rsidR="00611BD0" w:rsidRPr="006036D1">
        <w:rPr>
          <w:color w:val="auto"/>
        </w:rPr>
        <w:t>legata ai proventi</w:t>
      </w:r>
      <w:r w:rsidR="00E5299A" w:rsidRPr="006036D1">
        <w:rPr>
          <w:color w:val="auto"/>
        </w:rPr>
        <w:t xml:space="preserve"> da ricerca finanziata da UE di cui UniMi è capofila</w:t>
      </w:r>
      <w:r w:rsidR="006036D1" w:rsidRPr="006036D1">
        <w:rPr>
          <w:color w:val="auto"/>
        </w:rPr>
        <w:t xml:space="preserve"> (13</w:t>
      </w:r>
      <w:r w:rsidR="007C3692" w:rsidRPr="006036D1">
        <w:rPr>
          <w:color w:val="auto"/>
        </w:rPr>
        <w:t xml:space="preserve"> M)</w:t>
      </w:r>
      <w:r w:rsidR="00611BD0" w:rsidRPr="006036D1">
        <w:rPr>
          <w:color w:val="auto"/>
        </w:rPr>
        <w:t xml:space="preserve"> che</w:t>
      </w:r>
      <w:r w:rsidR="00E5299A" w:rsidRPr="006036D1">
        <w:rPr>
          <w:color w:val="auto"/>
        </w:rPr>
        <w:t xml:space="preserve"> </w:t>
      </w:r>
      <w:r w:rsidR="00611BD0" w:rsidRPr="006036D1">
        <w:rPr>
          <w:color w:val="auto"/>
        </w:rPr>
        <w:t>sono</w:t>
      </w:r>
      <w:r w:rsidR="00E5299A" w:rsidRPr="006036D1">
        <w:rPr>
          <w:color w:val="auto"/>
        </w:rPr>
        <w:t xml:space="preserve"> </w:t>
      </w:r>
      <w:r w:rsidR="006036D1" w:rsidRPr="006036D1">
        <w:rPr>
          <w:color w:val="auto"/>
        </w:rPr>
        <w:t>diminuiti di 3,3</w:t>
      </w:r>
      <w:r w:rsidR="00E5299A" w:rsidRPr="006036D1">
        <w:rPr>
          <w:color w:val="auto"/>
        </w:rPr>
        <w:t xml:space="preserve"> mil</w:t>
      </w:r>
      <w:r w:rsidR="00611BD0" w:rsidRPr="006036D1">
        <w:rPr>
          <w:color w:val="auto"/>
        </w:rPr>
        <w:t>ioni. P</w:t>
      </w:r>
      <w:r w:rsidR="00E5299A" w:rsidRPr="006036D1">
        <w:rPr>
          <w:color w:val="auto"/>
        </w:rPr>
        <w:t>ertanto poi UniMi trasferisce parte di tali</w:t>
      </w:r>
      <w:r w:rsidR="007C3692" w:rsidRPr="006036D1">
        <w:rPr>
          <w:color w:val="auto"/>
        </w:rPr>
        <w:t xml:space="preserve"> proven</w:t>
      </w:r>
      <w:r w:rsidR="00E5299A" w:rsidRPr="006036D1">
        <w:rPr>
          <w:color w:val="auto"/>
        </w:rPr>
        <w:t>t</w:t>
      </w:r>
      <w:r w:rsidR="007C3692" w:rsidRPr="006036D1">
        <w:rPr>
          <w:color w:val="auto"/>
        </w:rPr>
        <w:t>i</w:t>
      </w:r>
      <w:r w:rsidR="00611BD0" w:rsidRPr="006036D1">
        <w:rPr>
          <w:color w:val="auto"/>
        </w:rPr>
        <w:t xml:space="preserve"> ai soggetti partner.</w:t>
      </w:r>
    </w:p>
    <w:p w:rsidR="0048122A" w:rsidRPr="00F61572" w:rsidRDefault="0048122A" w:rsidP="0048122A">
      <w:pPr>
        <w:ind w:left="0" w:firstLine="0"/>
      </w:pPr>
      <w:r w:rsidRPr="00F61572">
        <w:rPr>
          <w:b/>
        </w:rPr>
        <w:t>5) Acquisto materiale consumo per laboratori</w:t>
      </w:r>
      <w:r w:rsidR="00854F7A" w:rsidRPr="00F61572">
        <w:rPr>
          <w:b/>
        </w:rPr>
        <w:t xml:space="preserve"> </w:t>
      </w:r>
      <w:r w:rsidR="00F61572" w:rsidRPr="00F61572">
        <w:t>8,7 M (-</w:t>
      </w:r>
      <w:r w:rsidR="00394FA0" w:rsidRPr="00F61572">
        <w:t>0,8</w:t>
      </w:r>
      <w:r w:rsidR="00854F7A" w:rsidRPr="00F61572">
        <w:t>)</w:t>
      </w:r>
      <w:r w:rsidR="001C0B57" w:rsidRPr="00F61572">
        <w:t>.</w:t>
      </w:r>
    </w:p>
    <w:p w:rsidR="0048122A" w:rsidRPr="00F61572" w:rsidRDefault="0048122A" w:rsidP="0048122A">
      <w:pPr>
        <w:ind w:left="0" w:firstLine="0"/>
      </w:pPr>
      <w:r w:rsidRPr="00F61572">
        <w:rPr>
          <w:b/>
        </w:rPr>
        <w:t>7) Acquisto di libri, periodici e materiale bibliografico</w:t>
      </w:r>
      <w:r w:rsidR="00747680" w:rsidRPr="00F61572">
        <w:rPr>
          <w:b/>
        </w:rPr>
        <w:t xml:space="preserve"> </w:t>
      </w:r>
      <w:r w:rsidR="00F61572" w:rsidRPr="00F61572">
        <w:t>4,7</w:t>
      </w:r>
      <w:r w:rsidR="00394FA0" w:rsidRPr="00F61572">
        <w:t xml:space="preserve"> </w:t>
      </w:r>
      <w:r w:rsidR="00747680" w:rsidRPr="00F61572">
        <w:t>M</w:t>
      </w:r>
      <w:r w:rsidR="00F61572" w:rsidRPr="00F61572">
        <w:t xml:space="preserve"> (-0,4</w:t>
      </w:r>
      <w:r w:rsidR="00747680" w:rsidRPr="00F61572">
        <w:t>)</w:t>
      </w:r>
      <w:r w:rsidR="001C0B57" w:rsidRPr="00F61572">
        <w:t>.</w:t>
      </w:r>
    </w:p>
    <w:p w:rsidR="0048122A" w:rsidRPr="00F61572" w:rsidRDefault="0048122A" w:rsidP="0048122A">
      <w:pPr>
        <w:ind w:left="0" w:firstLine="0"/>
      </w:pPr>
      <w:r w:rsidRPr="00F61572">
        <w:rPr>
          <w:b/>
        </w:rPr>
        <w:t>8) Acquisto di servizi e collaborazioni tecnico gestionali</w:t>
      </w:r>
      <w:r w:rsidR="00747680" w:rsidRPr="00F61572">
        <w:rPr>
          <w:b/>
        </w:rPr>
        <w:t xml:space="preserve"> </w:t>
      </w:r>
      <w:r w:rsidR="00F61572" w:rsidRPr="00F61572">
        <w:t>56,5</w:t>
      </w:r>
      <w:r w:rsidR="00394FA0" w:rsidRPr="00F61572">
        <w:t xml:space="preserve"> </w:t>
      </w:r>
      <w:r w:rsidR="00F61572" w:rsidRPr="00F61572">
        <w:t>M (-7,4</w:t>
      </w:r>
      <w:r w:rsidR="00747680" w:rsidRPr="00F61572">
        <w:t>)</w:t>
      </w:r>
      <w:r w:rsidR="001C0B57" w:rsidRPr="00F61572">
        <w:t>:</w:t>
      </w:r>
    </w:p>
    <w:p w:rsidR="002B2386" w:rsidRPr="00EF0572" w:rsidRDefault="006036D1" w:rsidP="008C363A">
      <w:pPr>
        <w:pStyle w:val="Paragrafoelenco"/>
        <w:numPr>
          <w:ilvl w:val="0"/>
          <w:numId w:val="14"/>
        </w:numPr>
        <w:rPr>
          <w:color w:val="auto"/>
        </w:rPr>
      </w:pPr>
      <w:r w:rsidRPr="00EF0572">
        <w:rPr>
          <w:color w:val="auto"/>
        </w:rPr>
        <w:t>Gas 2,9 M (-0,7</w:t>
      </w:r>
      <w:r w:rsidR="00AA3236" w:rsidRPr="00EF0572">
        <w:rPr>
          <w:color w:val="auto"/>
        </w:rPr>
        <w:t>)</w:t>
      </w:r>
      <w:r w:rsidR="006F3BC7" w:rsidRPr="00EF0572">
        <w:rPr>
          <w:color w:val="auto"/>
        </w:rPr>
        <w:t>;</w:t>
      </w:r>
    </w:p>
    <w:p w:rsidR="00AA3236" w:rsidRPr="00EF0572" w:rsidRDefault="006036D1" w:rsidP="008C363A">
      <w:pPr>
        <w:pStyle w:val="Paragrafoelenco"/>
        <w:numPr>
          <w:ilvl w:val="0"/>
          <w:numId w:val="14"/>
        </w:numPr>
        <w:rPr>
          <w:color w:val="auto"/>
        </w:rPr>
      </w:pPr>
      <w:r w:rsidRPr="00EF0572">
        <w:rPr>
          <w:color w:val="auto"/>
        </w:rPr>
        <w:t>Teleriscaldamento 2,2</w:t>
      </w:r>
      <w:r w:rsidR="00AD4C7A" w:rsidRPr="00EF0572">
        <w:rPr>
          <w:color w:val="auto"/>
        </w:rPr>
        <w:t xml:space="preserve"> M (-0,</w:t>
      </w:r>
      <w:r w:rsidRPr="00EF0572">
        <w:rPr>
          <w:color w:val="auto"/>
        </w:rPr>
        <w:t>4</w:t>
      </w:r>
      <w:r w:rsidR="00AA3236" w:rsidRPr="00EF0572">
        <w:rPr>
          <w:color w:val="auto"/>
        </w:rPr>
        <w:t>)</w:t>
      </w:r>
      <w:r w:rsidR="00AD4C7A" w:rsidRPr="00EF0572">
        <w:rPr>
          <w:color w:val="auto"/>
        </w:rPr>
        <w:t>;</w:t>
      </w:r>
    </w:p>
    <w:p w:rsidR="00AA3236" w:rsidRPr="00EF0572" w:rsidRDefault="006036D1" w:rsidP="008C363A">
      <w:pPr>
        <w:pStyle w:val="Paragrafoelenco"/>
        <w:numPr>
          <w:ilvl w:val="0"/>
          <w:numId w:val="14"/>
        </w:numPr>
      </w:pPr>
      <w:r w:rsidRPr="00EF0572">
        <w:t>Acqua 595.000 € (-141</w:t>
      </w:r>
      <w:r w:rsidR="00AA3236" w:rsidRPr="00EF0572">
        <w:t>.000)</w:t>
      </w:r>
      <w:r w:rsidR="006F3BC7" w:rsidRPr="00EF0572">
        <w:t>;</w:t>
      </w:r>
    </w:p>
    <w:p w:rsidR="00AA3236" w:rsidRPr="00EF0572" w:rsidRDefault="006036D1" w:rsidP="008C363A">
      <w:pPr>
        <w:pStyle w:val="Paragrafoelenco"/>
        <w:numPr>
          <w:ilvl w:val="0"/>
          <w:numId w:val="14"/>
        </w:numPr>
      </w:pPr>
      <w:r w:rsidRPr="00EF0572">
        <w:t>Energia elettrica 9,1 M (-1</w:t>
      </w:r>
      <w:r w:rsidR="00AD4C7A" w:rsidRPr="00EF0572">
        <w:t>,3</w:t>
      </w:r>
      <w:r w:rsidR="00AA3236" w:rsidRPr="00EF0572">
        <w:t>)</w:t>
      </w:r>
      <w:r w:rsidR="006F3BC7" w:rsidRPr="00EF0572">
        <w:t>;</w:t>
      </w:r>
    </w:p>
    <w:p w:rsidR="00AA3236" w:rsidRPr="00EF0572" w:rsidRDefault="00EF0572" w:rsidP="008C363A">
      <w:pPr>
        <w:pStyle w:val="Paragrafoelenco"/>
        <w:numPr>
          <w:ilvl w:val="0"/>
          <w:numId w:val="14"/>
        </w:numPr>
        <w:rPr>
          <w:color w:val="auto"/>
        </w:rPr>
      </w:pPr>
      <w:r w:rsidRPr="00EF0572">
        <w:rPr>
          <w:color w:val="auto"/>
        </w:rPr>
        <w:t>Reti di trasmissione 443</w:t>
      </w:r>
      <w:r w:rsidR="00AA3236" w:rsidRPr="00EF0572">
        <w:rPr>
          <w:color w:val="auto"/>
        </w:rPr>
        <w:t>.000</w:t>
      </w:r>
      <w:r w:rsidRPr="00EF0572">
        <w:rPr>
          <w:color w:val="auto"/>
        </w:rPr>
        <w:t xml:space="preserve"> € (-233</w:t>
      </w:r>
      <w:r w:rsidR="00AA3236" w:rsidRPr="00EF0572">
        <w:rPr>
          <w:color w:val="auto"/>
        </w:rPr>
        <w:t>.000)</w:t>
      </w:r>
      <w:r w:rsidR="006F3BC7" w:rsidRPr="00EF0572">
        <w:rPr>
          <w:color w:val="auto"/>
        </w:rPr>
        <w:t>;</w:t>
      </w:r>
    </w:p>
    <w:p w:rsidR="00AA3236" w:rsidRPr="00EF0572" w:rsidRDefault="00AA3236" w:rsidP="008C363A">
      <w:pPr>
        <w:pStyle w:val="Paragrafoelenco"/>
        <w:numPr>
          <w:ilvl w:val="0"/>
          <w:numId w:val="14"/>
        </w:numPr>
      </w:pPr>
      <w:r w:rsidRPr="00EF0572">
        <w:t xml:space="preserve">Manutenzione ordinaria e riparazione </w:t>
      </w:r>
      <w:r w:rsidR="00AD4C7A" w:rsidRPr="00EF0572">
        <w:t>di</w:t>
      </w:r>
      <w:r w:rsidR="00EF0572" w:rsidRPr="00EF0572">
        <w:t xml:space="preserve"> immobili 2,5 M (-0,7</w:t>
      </w:r>
      <w:r w:rsidRPr="00EF0572">
        <w:t>)</w:t>
      </w:r>
      <w:r w:rsidR="006F3BC7" w:rsidRPr="00EF0572">
        <w:t>;</w:t>
      </w:r>
    </w:p>
    <w:p w:rsidR="00AA3236" w:rsidRPr="00EF0572" w:rsidRDefault="00AA3236" w:rsidP="008C363A">
      <w:pPr>
        <w:pStyle w:val="Paragrafoelenco"/>
        <w:numPr>
          <w:ilvl w:val="0"/>
          <w:numId w:val="14"/>
        </w:numPr>
      </w:pPr>
      <w:r w:rsidRPr="00EF0572">
        <w:t>Manutenzione ordinaria e riparazione di immobili non programmata</w:t>
      </w:r>
      <w:r w:rsidR="00EF0572" w:rsidRPr="00EF0572">
        <w:t xml:space="preserve"> 2,9 M (-3,4</w:t>
      </w:r>
      <w:r w:rsidR="00AD4C7A" w:rsidRPr="00EF0572">
        <w:t>; di cui</w:t>
      </w:r>
      <w:r w:rsidR="00EF0572" w:rsidRPr="00EF0572">
        <w:t xml:space="preserve"> 5</w:t>
      </w:r>
      <w:r w:rsidR="00AD4C7A" w:rsidRPr="00EF0572">
        <w:t xml:space="preserve">00.000 € per </w:t>
      </w:r>
      <w:r w:rsidR="00EF0572" w:rsidRPr="00EF0572">
        <w:t>riqualificazione aule e servizi igienici, 40</w:t>
      </w:r>
      <w:r w:rsidR="00AD4C7A" w:rsidRPr="00EF0572">
        <w:t xml:space="preserve">0.000 € per </w:t>
      </w:r>
      <w:r w:rsidR="00EF0572" w:rsidRPr="00EF0572">
        <w:t>sicurezza impianti e sistemi di termoregolazione</w:t>
      </w:r>
      <w:r w:rsidR="00AD4C7A" w:rsidRPr="00EF0572">
        <w:t xml:space="preserve">, </w:t>
      </w:r>
      <w:r w:rsidR="00EF0572" w:rsidRPr="00EF0572">
        <w:t>130.</w:t>
      </w:r>
      <w:r w:rsidR="00AD4C7A" w:rsidRPr="00EF0572">
        <w:t xml:space="preserve">000 € per </w:t>
      </w:r>
      <w:r w:rsidR="00EF0572" w:rsidRPr="00EF0572">
        <w:t>impianti elevatori; 400.000 € per rimozione amianto ed infiltrazioni</w:t>
      </w:r>
      <w:r w:rsidR="006F3BC7" w:rsidRPr="00EF0572">
        <w:t>;</w:t>
      </w:r>
    </w:p>
    <w:p w:rsidR="00AA3236" w:rsidRPr="00EF0572" w:rsidRDefault="00AA3236" w:rsidP="008C363A">
      <w:pPr>
        <w:pStyle w:val="Paragrafoelenco"/>
        <w:numPr>
          <w:ilvl w:val="0"/>
          <w:numId w:val="14"/>
        </w:numPr>
      </w:pPr>
      <w:r w:rsidRPr="00EF0572">
        <w:t>Manutenzione ordinaria riscaldamento e condizionamento</w:t>
      </w:r>
      <w:r w:rsidR="00EF0572" w:rsidRPr="00EF0572">
        <w:t xml:space="preserve"> 3,7 M (+0,4</w:t>
      </w:r>
      <w:r w:rsidRPr="00EF0572">
        <w:t>)</w:t>
      </w:r>
      <w:r w:rsidR="006F3BC7" w:rsidRPr="00EF0572">
        <w:t>;</w:t>
      </w:r>
    </w:p>
    <w:p w:rsidR="00AA3236" w:rsidRPr="00EF0572" w:rsidRDefault="00AA3236" w:rsidP="008C363A">
      <w:pPr>
        <w:pStyle w:val="Paragrafoelenco"/>
        <w:numPr>
          <w:ilvl w:val="0"/>
          <w:numId w:val="14"/>
        </w:numPr>
      </w:pPr>
      <w:r w:rsidRPr="00EF0572">
        <w:t xml:space="preserve">Manutenzione ordinaria impianti tecnologici </w:t>
      </w:r>
      <w:r w:rsidR="00EF0572" w:rsidRPr="00EF0572">
        <w:t>4,5 M (+1</w:t>
      </w:r>
      <w:r w:rsidRPr="00EF0572">
        <w:t>)</w:t>
      </w:r>
      <w:r w:rsidR="006F3BC7" w:rsidRPr="00EF0572">
        <w:t>;</w:t>
      </w:r>
    </w:p>
    <w:p w:rsidR="00AA3236" w:rsidRPr="00EF0572" w:rsidRDefault="00AA3236" w:rsidP="008C363A">
      <w:pPr>
        <w:pStyle w:val="Paragrafoelenco"/>
        <w:numPr>
          <w:ilvl w:val="0"/>
          <w:numId w:val="14"/>
        </w:numPr>
      </w:pPr>
      <w:r w:rsidRPr="00EF0572">
        <w:t>Manutenzione ordinaria apparecchiature scientifiche – istituzionale</w:t>
      </w:r>
      <w:r w:rsidR="00EF0572" w:rsidRPr="00EF0572">
        <w:t xml:space="preserve"> 0,9</w:t>
      </w:r>
      <w:r w:rsidR="000D79C6" w:rsidRPr="00EF0572">
        <w:t xml:space="preserve"> M (</w:t>
      </w:r>
      <w:r w:rsidR="00EF0572" w:rsidRPr="00EF0572">
        <w:t>-0,2</w:t>
      </w:r>
      <w:r w:rsidR="00F40789" w:rsidRPr="00EF0572">
        <w:t>)</w:t>
      </w:r>
      <w:r w:rsidR="006F3BC7" w:rsidRPr="00EF0572">
        <w:t>;</w:t>
      </w:r>
    </w:p>
    <w:p w:rsidR="00AA3236" w:rsidRPr="00EF0572" w:rsidRDefault="00AA3236" w:rsidP="008C363A">
      <w:pPr>
        <w:pStyle w:val="Paragrafoelenco"/>
        <w:numPr>
          <w:ilvl w:val="0"/>
          <w:numId w:val="14"/>
        </w:numPr>
      </w:pPr>
      <w:r w:rsidRPr="00EF0572">
        <w:t>Manutenzione ordinaria telecomunicazioni</w:t>
      </w:r>
      <w:r w:rsidR="00EF0572" w:rsidRPr="00EF0572">
        <w:t xml:space="preserve"> 1 M</w:t>
      </w:r>
      <w:r w:rsidR="000D79C6" w:rsidRPr="00EF0572">
        <w:t xml:space="preserve"> (</w:t>
      </w:r>
      <w:r w:rsidR="00EF0572" w:rsidRPr="00EF0572">
        <w:t>+0,2</w:t>
      </w:r>
      <w:r w:rsidR="00F40789" w:rsidRPr="00EF0572">
        <w:t>)</w:t>
      </w:r>
      <w:r w:rsidR="006F3BC7" w:rsidRPr="00EF0572">
        <w:t>;</w:t>
      </w:r>
    </w:p>
    <w:p w:rsidR="00AA3236" w:rsidRPr="004816FB" w:rsidRDefault="00AA3236" w:rsidP="008C363A">
      <w:pPr>
        <w:pStyle w:val="Paragrafoelenco"/>
        <w:numPr>
          <w:ilvl w:val="0"/>
          <w:numId w:val="14"/>
        </w:numPr>
      </w:pPr>
      <w:r w:rsidRPr="004816FB">
        <w:t>Assistenza informatica e manutenzione software DivSi</w:t>
      </w:r>
      <w:r w:rsidR="00EF0572" w:rsidRPr="004816FB">
        <w:t xml:space="preserve"> 3,5</w:t>
      </w:r>
      <w:r w:rsidR="000D79C6" w:rsidRPr="004816FB">
        <w:t xml:space="preserve"> M (</w:t>
      </w:r>
      <w:r w:rsidR="00EF0572" w:rsidRPr="004816FB">
        <w:t>+0,6</w:t>
      </w:r>
      <w:r w:rsidR="004816FB">
        <w:t>: di cui 1,2 M per Cineca per applicativi U-GOV, U-BUY e Iris + 55.000 € a Cineca per nuovo sito UniMi + 2,1 M per applicativi per didattica</w:t>
      </w:r>
      <w:r w:rsidR="00F40789" w:rsidRPr="004816FB">
        <w:t>)</w:t>
      </w:r>
      <w:r w:rsidR="006F3BC7" w:rsidRPr="004816FB">
        <w:t>;</w:t>
      </w:r>
      <w:r w:rsidR="006F0864" w:rsidRPr="004816FB">
        <w:t xml:space="preserve"> </w:t>
      </w:r>
    </w:p>
    <w:p w:rsidR="00AA3236" w:rsidRPr="004816FB" w:rsidRDefault="00AA3236" w:rsidP="008C363A">
      <w:pPr>
        <w:pStyle w:val="Paragrafoelenco"/>
        <w:numPr>
          <w:ilvl w:val="0"/>
          <w:numId w:val="14"/>
        </w:numPr>
      </w:pPr>
      <w:r w:rsidRPr="004816FB">
        <w:t>Pulizia</w:t>
      </w:r>
      <w:r w:rsidR="004816FB" w:rsidRPr="004816FB">
        <w:t xml:space="preserve"> 4,9 M (-0,5</w:t>
      </w:r>
      <w:r w:rsidR="00F40789" w:rsidRPr="004816FB">
        <w:t>)</w:t>
      </w:r>
      <w:r w:rsidR="006F3BC7" w:rsidRPr="004816FB">
        <w:t>;</w:t>
      </w:r>
    </w:p>
    <w:p w:rsidR="00106EE6" w:rsidRPr="004816FB" w:rsidRDefault="004816FB" w:rsidP="008C363A">
      <w:pPr>
        <w:pStyle w:val="Paragrafoelenco"/>
        <w:numPr>
          <w:ilvl w:val="0"/>
          <w:numId w:val="14"/>
        </w:numPr>
      </w:pPr>
      <w:r w:rsidRPr="004816FB">
        <w:t>Vigilanza locali e impianti 863.000€ (+117</w:t>
      </w:r>
      <w:r w:rsidR="00106EE6" w:rsidRPr="004816FB">
        <w:t>.000)</w:t>
      </w:r>
      <w:r w:rsidR="006F3BC7" w:rsidRPr="004816FB">
        <w:t>;</w:t>
      </w:r>
    </w:p>
    <w:p w:rsidR="0048122A" w:rsidRPr="00F61572" w:rsidRDefault="0048122A" w:rsidP="0048122A">
      <w:pPr>
        <w:ind w:left="0" w:firstLine="0"/>
      </w:pPr>
      <w:r w:rsidRPr="00F61572">
        <w:rPr>
          <w:b/>
        </w:rPr>
        <w:t>9) Acquisto altri materiali</w:t>
      </w:r>
      <w:r w:rsidR="00747680" w:rsidRPr="00F61572">
        <w:rPr>
          <w:b/>
        </w:rPr>
        <w:t xml:space="preserve"> </w:t>
      </w:r>
      <w:r w:rsidR="00394FA0" w:rsidRPr="00F61572">
        <w:t>2,</w:t>
      </w:r>
      <w:r w:rsidR="00F61572" w:rsidRPr="00F61572">
        <w:t>7</w:t>
      </w:r>
      <w:r w:rsidR="00394FA0" w:rsidRPr="00F61572">
        <w:t xml:space="preserve"> </w:t>
      </w:r>
      <w:r w:rsidR="00747680" w:rsidRPr="00F61572">
        <w:t>M</w:t>
      </w:r>
      <w:r w:rsidR="00F61572" w:rsidRPr="00F61572">
        <w:t xml:space="preserve"> (-0,1</w:t>
      </w:r>
      <w:r w:rsidR="00394FA0" w:rsidRPr="00F61572">
        <w:t>)</w:t>
      </w:r>
      <w:r w:rsidR="00402027" w:rsidRPr="00F61572">
        <w:t xml:space="preserve"> (</w:t>
      </w:r>
      <w:r w:rsidR="00A77372" w:rsidRPr="00F61572">
        <w:t>cancelleria, materiali igienico sanitario, materiale informatico, carburanti)</w:t>
      </w:r>
      <w:r w:rsidR="001C0B57" w:rsidRPr="00F61572">
        <w:t>.</w:t>
      </w:r>
    </w:p>
    <w:p w:rsidR="0048122A" w:rsidRPr="00F61572" w:rsidRDefault="0048122A" w:rsidP="0048122A">
      <w:pPr>
        <w:ind w:left="0" w:firstLine="0"/>
      </w:pPr>
      <w:r w:rsidRPr="00F61572">
        <w:rPr>
          <w:b/>
        </w:rPr>
        <w:t>11) Costi per godimento beni di terzi</w:t>
      </w:r>
      <w:r w:rsidR="00747680" w:rsidRPr="00F61572">
        <w:rPr>
          <w:b/>
        </w:rPr>
        <w:t xml:space="preserve"> </w:t>
      </w:r>
      <w:r w:rsidR="00F61572" w:rsidRPr="00F61572">
        <w:t>8</w:t>
      </w:r>
      <w:r w:rsidR="00394FA0" w:rsidRPr="00F61572">
        <w:t xml:space="preserve"> </w:t>
      </w:r>
      <w:r w:rsidR="00747680" w:rsidRPr="00F61572">
        <w:t>M</w:t>
      </w:r>
      <w:r w:rsidR="00F61572" w:rsidRPr="00F61572">
        <w:t xml:space="preserve"> (+1,6</w:t>
      </w:r>
      <w:r w:rsidR="00747680" w:rsidRPr="00F61572">
        <w:t>)</w:t>
      </w:r>
      <w:r w:rsidR="001C0B57" w:rsidRPr="00F61572">
        <w:t>:</w:t>
      </w:r>
    </w:p>
    <w:p w:rsidR="009E35E8" w:rsidRPr="00E03E57" w:rsidRDefault="009E35E8" w:rsidP="0048122A">
      <w:pPr>
        <w:ind w:left="0" w:firstLine="0"/>
        <w:rPr>
          <w:color w:val="auto"/>
        </w:rPr>
      </w:pPr>
      <w:r w:rsidRPr="00E03E57">
        <w:rPr>
          <w:color w:val="auto"/>
        </w:rPr>
        <w:t>Locazioni i</w:t>
      </w:r>
      <w:r w:rsidR="004816FB" w:rsidRPr="00E03E57">
        <w:rPr>
          <w:color w:val="auto"/>
        </w:rPr>
        <w:t>stituzionali (fitti passivi) 5,6 M (+1,2</w:t>
      </w:r>
      <w:r w:rsidR="006F0864" w:rsidRPr="00E03E57">
        <w:rPr>
          <w:color w:val="auto"/>
        </w:rPr>
        <w:t xml:space="preserve">; </w:t>
      </w:r>
      <w:r w:rsidR="00523489" w:rsidRPr="00E03E57">
        <w:rPr>
          <w:color w:val="auto"/>
        </w:rPr>
        <w:t>l’aumento</w:t>
      </w:r>
      <w:r w:rsidR="006F0864" w:rsidRPr="00E03E57">
        <w:rPr>
          <w:color w:val="auto"/>
        </w:rPr>
        <w:t xml:space="preserve"> è principalmente determinato </w:t>
      </w:r>
      <w:r w:rsidR="00523489" w:rsidRPr="00E03E57">
        <w:rPr>
          <w:color w:val="auto"/>
        </w:rPr>
        <w:t>dall’acquisizione di nuovi spazi da destinare alle residenze universitarie anche al fine di completare i lavori di ristrutturazione degli immobili di Via Santa Sofia e Via Bassini e ai canoni per licenze e software acquisiti per fronteggiare la situazione emergenziale e assicurare i servizi di didattica a distanza). La spesa comprende:</w:t>
      </w:r>
      <w:r w:rsidR="008C363A" w:rsidRPr="00E03E57">
        <w:rPr>
          <w:color w:val="auto"/>
        </w:rPr>
        <w:t xml:space="preserve"> </w:t>
      </w:r>
      <w:r w:rsidRPr="00E03E57">
        <w:rPr>
          <w:color w:val="auto"/>
        </w:rPr>
        <w:t>2,1</w:t>
      </w:r>
      <w:r w:rsidR="008C363A" w:rsidRPr="00E03E57">
        <w:rPr>
          <w:color w:val="auto"/>
        </w:rPr>
        <w:t xml:space="preserve"> </w:t>
      </w:r>
      <w:r w:rsidRPr="00E03E57">
        <w:rPr>
          <w:color w:val="auto"/>
        </w:rPr>
        <w:t>M per uffici amministrativi in via S.Antonio</w:t>
      </w:r>
      <w:r w:rsidR="00D033F7" w:rsidRPr="00E03E57">
        <w:rPr>
          <w:color w:val="auto"/>
        </w:rPr>
        <w:t xml:space="preserve"> a favore di Opera Diocesana</w:t>
      </w:r>
      <w:r w:rsidR="008C363A" w:rsidRPr="00E03E57">
        <w:rPr>
          <w:color w:val="auto"/>
        </w:rPr>
        <w:t xml:space="preserve">; </w:t>
      </w:r>
      <w:r w:rsidR="00523489" w:rsidRPr="00E03E57">
        <w:rPr>
          <w:color w:val="auto"/>
        </w:rPr>
        <w:t xml:space="preserve">1,7 M a favore di ALER per appartamenti e residenze studentesche; </w:t>
      </w:r>
      <w:r w:rsidR="00D033F7" w:rsidRPr="00E03E57">
        <w:rPr>
          <w:color w:val="auto"/>
        </w:rPr>
        <w:t>984.000€ per Odontoiatria in via Bel</w:t>
      </w:r>
      <w:r w:rsidR="008C363A" w:rsidRPr="00E03E57">
        <w:rPr>
          <w:color w:val="auto"/>
        </w:rPr>
        <w:t>diletto a favore di Sport</w:t>
      </w:r>
      <w:r w:rsidR="00523489" w:rsidRPr="00E03E57">
        <w:rPr>
          <w:color w:val="auto"/>
        </w:rPr>
        <w:t xml:space="preserve"> Invest; 237</w:t>
      </w:r>
      <w:r w:rsidR="008C363A" w:rsidRPr="00E03E57">
        <w:rPr>
          <w:color w:val="auto"/>
        </w:rPr>
        <w:t xml:space="preserve">.000 € a favore di </w:t>
      </w:r>
      <w:r w:rsidR="00523489" w:rsidRPr="00E03E57">
        <w:rPr>
          <w:color w:val="auto"/>
        </w:rPr>
        <w:t>Società Umanitaria</w:t>
      </w:r>
      <w:r w:rsidR="008C363A" w:rsidRPr="00E03E57">
        <w:rPr>
          <w:color w:val="auto"/>
        </w:rPr>
        <w:t xml:space="preserve"> per </w:t>
      </w:r>
      <w:r w:rsidR="00523489" w:rsidRPr="00E03E57">
        <w:rPr>
          <w:color w:val="auto"/>
        </w:rPr>
        <w:t>via Pace e via D’Averio</w:t>
      </w:r>
      <w:r w:rsidR="008C363A" w:rsidRPr="00E03E57">
        <w:rPr>
          <w:color w:val="auto"/>
        </w:rPr>
        <w:t>.</w:t>
      </w:r>
    </w:p>
    <w:p w:rsidR="00523489" w:rsidRPr="00523489" w:rsidRDefault="00523489" w:rsidP="0048122A">
      <w:pPr>
        <w:ind w:left="0" w:firstLine="0"/>
        <w:rPr>
          <w:i/>
          <w:color w:val="C00000"/>
        </w:rPr>
      </w:pPr>
      <w:r w:rsidRPr="00523489">
        <w:rPr>
          <w:i/>
          <w:color w:val="C00000"/>
        </w:rPr>
        <w:t>Commento: l’aumento dei costi per locazioni di ben 1,2 milioni di euro è preoccupante perché può influenzare negativamente la possibilità di investire risorse per le assunzioni di personale: bisogna concludere nel più breve tempo possibile i lavori di ristrutturazione delle residenze di via S.</w:t>
      </w:r>
      <w:r w:rsidR="0004797D">
        <w:rPr>
          <w:i/>
          <w:color w:val="C00000"/>
        </w:rPr>
        <w:t xml:space="preserve"> </w:t>
      </w:r>
      <w:r w:rsidRPr="00523489">
        <w:rPr>
          <w:i/>
          <w:color w:val="C00000"/>
        </w:rPr>
        <w:t xml:space="preserve">Sofia e via Bassini per poter risparmiare questo costo di 1,2 milioni di euro </w:t>
      </w:r>
      <w:r w:rsidR="00F549F1">
        <w:rPr>
          <w:i/>
          <w:color w:val="C00000"/>
        </w:rPr>
        <w:t xml:space="preserve">annui </w:t>
      </w:r>
      <w:r w:rsidRPr="00523489">
        <w:rPr>
          <w:i/>
          <w:color w:val="C00000"/>
        </w:rPr>
        <w:t>aggiuntivi.</w:t>
      </w:r>
    </w:p>
    <w:p w:rsidR="0048122A" w:rsidRPr="00F61572" w:rsidRDefault="0048122A" w:rsidP="0048122A">
      <w:pPr>
        <w:ind w:left="0" w:firstLine="0"/>
      </w:pPr>
      <w:r w:rsidRPr="00F61572">
        <w:rPr>
          <w:b/>
        </w:rPr>
        <w:t>12) Altri costi</w:t>
      </w:r>
      <w:r w:rsidR="00394FA0" w:rsidRPr="00F61572">
        <w:rPr>
          <w:b/>
        </w:rPr>
        <w:t xml:space="preserve"> </w:t>
      </w:r>
      <w:r w:rsidR="00F61572" w:rsidRPr="00F61572">
        <w:t>6</w:t>
      </w:r>
      <w:r w:rsidR="00394FA0" w:rsidRPr="00F61572">
        <w:rPr>
          <w:b/>
        </w:rPr>
        <w:t xml:space="preserve"> </w:t>
      </w:r>
      <w:r w:rsidR="00F61572" w:rsidRPr="00F61572">
        <w:t>M (stabile</w:t>
      </w:r>
      <w:r w:rsidR="00747680" w:rsidRPr="00F61572">
        <w:t>)</w:t>
      </w:r>
      <w:r w:rsidR="001C0B57" w:rsidRPr="00F61572">
        <w:t>:</w:t>
      </w:r>
    </w:p>
    <w:p w:rsidR="00A378F3" w:rsidRPr="00AF0C51" w:rsidRDefault="00A378F3" w:rsidP="00A378F3">
      <w:pPr>
        <w:pStyle w:val="Paragrafoelenco"/>
        <w:numPr>
          <w:ilvl w:val="0"/>
          <w:numId w:val="16"/>
        </w:numPr>
        <w:rPr>
          <w:color w:val="auto"/>
        </w:rPr>
      </w:pPr>
      <w:r w:rsidRPr="00AF0C51">
        <w:rPr>
          <w:color w:val="auto"/>
        </w:rPr>
        <w:t>Indennità del Rettore, Prorettor</w:t>
      </w:r>
      <w:r w:rsidR="00523489" w:rsidRPr="00AF0C51">
        <w:rPr>
          <w:color w:val="auto"/>
        </w:rPr>
        <w:t>i, Direttori di Dipartimento 645.000 € (-17</w:t>
      </w:r>
      <w:r w:rsidRPr="00AF0C51">
        <w:rPr>
          <w:color w:val="auto"/>
        </w:rPr>
        <w:t>.000);</w:t>
      </w:r>
    </w:p>
    <w:p w:rsidR="00A378F3" w:rsidRPr="00AF0C51" w:rsidRDefault="00A378F3" w:rsidP="00A378F3">
      <w:pPr>
        <w:pStyle w:val="Paragrafoelenco"/>
        <w:numPr>
          <w:ilvl w:val="0"/>
          <w:numId w:val="16"/>
        </w:numPr>
        <w:rPr>
          <w:color w:val="auto"/>
        </w:rPr>
      </w:pPr>
      <w:r w:rsidRPr="00AF0C51">
        <w:rPr>
          <w:color w:val="auto"/>
        </w:rPr>
        <w:t>Getton</w:t>
      </w:r>
      <w:r w:rsidR="00AF0C51" w:rsidRPr="00AF0C51">
        <w:rPr>
          <w:color w:val="auto"/>
        </w:rPr>
        <w:t>e membri CdA e Senato 741.000€ (+104</w:t>
      </w:r>
      <w:r w:rsidRPr="00AF0C51">
        <w:rPr>
          <w:color w:val="auto"/>
        </w:rPr>
        <w:t>.000);</w:t>
      </w:r>
    </w:p>
    <w:p w:rsidR="00A378F3" w:rsidRPr="00AF0C51" w:rsidRDefault="00AF0C51" w:rsidP="00A378F3">
      <w:pPr>
        <w:pStyle w:val="Paragrafoelenco"/>
        <w:numPr>
          <w:ilvl w:val="0"/>
          <w:numId w:val="16"/>
        </w:numPr>
        <w:rPr>
          <w:szCs w:val="20"/>
        </w:rPr>
      </w:pPr>
      <w:r w:rsidRPr="00AF0C51">
        <w:rPr>
          <w:szCs w:val="20"/>
        </w:rPr>
        <w:t>Sussidi al personale TAB 30.000 € (+11</w:t>
      </w:r>
      <w:r w:rsidR="00A378F3" w:rsidRPr="00AF0C51">
        <w:rPr>
          <w:szCs w:val="20"/>
        </w:rPr>
        <w:t xml:space="preserve">.000). </w:t>
      </w:r>
      <w:r w:rsidR="00BA3CAE" w:rsidRPr="00AF0C51">
        <w:rPr>
          <w:szCs w:val="20"/>
        </w:rPr>
        <w:t>In realtà la spesa annuale è di 50.000 € e viene interamente spesa ma va su anni di bilancio diversi</w:t>
      </w:r>
      <w:r w:rsidR="00A378F3" w:rsidRPr="00AF0C51">
        <w:rPr>
          <w:szCs w:val="20"/>
        </w:rPr>
        <w:t>;</w:t>
      </w:r>
    </w:p>
    <w:p w:rsidR="00C62548" w:rsidRPr="00FE0720" w:rsidRDefault="00747680" w:rsidP="002A2C4A">
      <w:pPr>
        <w:pStyle w:val="Paragrafoelenco"/>
        <w:numPr>
          <w:ilvl w:val="0"/>
          <w:numId w:val="16"/>
        </w:numPr>
        <w:rPr>
          <w:color w:val="auto"/>
        </w:rPr>
      </w:pPr>
      <w:r w:rsidRPr="00FE0720">
        <w:rPr>
          <w:color w:val="auto"/>
        </w:rPr>
        <w:t>Assist</w:t>
      </w:r>
      <w:r w:rsidR="00FE0720" w:rsidRPr="00FE0720">
        <w:rPr>
          <w:color w:val="auto"/>
        </w:rPr>
        <w:t>enza sanitaria – welfare PTA 480</w:t>
      </w:r>
      <w:r w:rsidRPr="00FE0720">
        <w:rPr>
          <w:color w:val="auto"/>
        </w:rPr>
        <w:t>.000</w:t>
      </w:r>
      <w:r w:rsidR="00FE0720" w:rsidRPr="00FE0720">
        <w:rPr>
          <w:color w:val="auto"/>
        </w:rPr>
        <w:t xml:space="preserve"> € (-3</w:t>
      </w:r>
      <w:r w:rsidR="006F5E64" w:rsidRPr="00FE0720">
        <w:rPr>
          <w:color w:val="auto"/>
        </w:rPr>
        <w:t>6</w:t>
      </w:r>
      <w:r w:rsidRPr="00FE0720">
        <w:rPr>
          <w:color w:val="auto"/>
        </w:rPr>
        <w:t>.000)</w:t>
      </w:r>
      <w:r w:rsidR="00FE0720">
        <w:rPr>
          <w:color w:val="auto"/>
        </w:rPr>
        <w:t>; (budget 690.000 €);</w:t>
      </w:r>
    </w:p>
    <w:p w:rsidR="006D2EDA" w:rsidRPr="00FE0720" w:rsidRDefault="00747680" w:rsidP="00FE0720">
      <w:pPr>
        <w:pStyle w:val="Paragrafoelenco"/>
        <w:numPr>
          <w:ilvl w:val="0"/>
          <w:numId w:val="16"/>
        </w:numPr>
        <w:rPr>
          <w:color w:val="auto"/>
        </w:rPr>
      </w:pPr>
      <w:r w:rsidRPr="00FE0720">
        <w:rPr>
          <w:color w:val="auto"/>
        </w:rPr>
        <w:t>Contr</w:t>
      </w:r>
      <w:r w:rsidR="006F5B24" w:rsidRPr="00FE0720">
        <w:rPr>
          <w:color w:val="auto"/>
        </w:rPr>
        <w:t>ibuto</w:t>
      </w:r>
      <w:r w:rsidR="00FE0720" w:rsidRPr="00FE0720">
        <w:rPr>
          <w:color w:val="auto"/>
        </w:rPr>
        <w:t xml:space="preserve"> mobilità – welfare PTA 367</w:t>
      </w:r>
      <w:r w:rsidRPr="00FE0720">
        <w:rPr>
          <w:color w:val="auto"/>
        </w:rPr>
        <w:t>.000</w:t>
      </w:r>
      <w:r w:rsidR="00FE0720" w:rsidRPr="00FE0720">
        <w:rPr>
          <w:color w:val="auto"/>
        </w:rPr>
        <w:t xml:space="preserve"> € (+42</w:t>
      </w:r>
      <w:r w:rsidRPr="00FE0720">
        <w:rPr>
          <w:color w:val="auto"/>
        </w:rPr>
        <w:t>.000)</w:t>
      </w:r>
      <w:r w:rsidR="006D2EDA" w:rsidRPr="00FE0720">
        <w:rPr>
          <w:color w:val="auto"/>
        </w:rPr>
        <w:t>;</w:t>
      </w:r>
      <w:r w:rsidR="00FE0720" w:rsidRPr="00FE0720">
        <w:rPr>
          <w:color w:val="auto"/>
        </w:rPr>
        <w:t xml:space="preserve"> </w:t>
      </w:r>
      <w:r w:rsidR="00FE0720">
        <w:rPr>
          <w:color w:val="auto"/>
        </w:rPr>
        <w:t>(sforato budget 325.000 €);</w:t>
      </w:r>
    </w:p>
    <w:p w:rsidR="00747680" w:rsidRPr="00FE0720" w:rsidRDefault="006F5E64" w:rsidP="006D2EDA">
      <w:pPr>
        <w:pStyle w:val="Paragrafoelenco"/>
        <w:numPr>
          <w:ilvl w:val="0"/>
          <w:numId w:val="16"/>
        </w:numPr>
        <w:rPr>
          <w:color w:val="auto"/>
        </w:rPr>
      </w:pPr>
      <w:r w:rsidRPr="00FE0720">
        <w:rPr>
          <w:color w:val="auto"/>
        </w:rPr>
        <w:t>Asili nido – welfare P</w:t>
      </w:r>
      <w:r w:rsidR="00FE0720" w:rsidRPr="00FE0720">
        <w:rPr>
          <w:color w:val="auto"/>
        </w:rPr>
        <w:t>TA 18</w:t>
      </w:r>
      <w:r w:rsidR="00747680" w:rsidRPr="00FE0720">
        <w:rPr>
          <w:color w:val="auto"/>
        </w:rPr>
        <w:t>.000</w:t>
      </w:r>
      <w:r w:rsidR="00FE0720" w:rsidRPr="00FE0720">
        <w:rPr>
          <w:color w:val="auto"/>
        </w:rPr>
        <w:t xml:space="preserve"> € (-8</w:t>
      </w:r>
      <w:r w:rsidR="00747680" w:rsidRPr="00FE0720">
        <w:rPr>
          <w:color w:val="auto"/>
        </w:rPr>
        <w:t>.000)</w:t>
      </w:r>
      <w:r w:rsidR="001C0B57" w:rsidRPr="00FE0720">
        <w:rPr>
          <w:color w:val="auto"/>
        </w:rPr>
        <w:t>;</w:t>
      </w:r>
      <w:r w:rsidR="00FE0720" w:rsidRPr="00FE0720">
        <w:rPr>
          <w:color w:val="auto"/>
        </w:rPr>
        <w:t xml:space="preserve"> (budget 83.000 €);</w:t>
      </w:r>
    </w:p>
    <w:p w:rsidR="00747680" w:rsidRPr="00FE0720" w:rsidRDefault="00FE0720" w:rsidP="00FE0720">
      <w:pPr>
        <w:pStyle w:val="Paragrafoelenco"/>
        <w:numPr>
          <w:ilvl w:val="0"/>
          <w:numId w:val="16"/>
        </w:numPr>
        <w:rPr>
          <w:color w:val="auto"/>
        </w:rPr>
      </w:pPr>
      <w:r w:rsidRPr="00FE0720">
        <w:rPr>
          <w:color w:val="auto"/>
        </w:rPr>
        <w:t>Centri estivi – welfare PTA 12.000 € (-3</w:t>
      </w:r>
      <w:r w:rsidR="006F5E64" w:rsidRPr="00FE0720">
        <w:rPr>
          <w:color w:val="auto"/>
        </w:rPr>
        <w:t>7</w:t>
      </w:r>
      <w:r w:rsidR="00747680" w:rsidRPr="00FE0720">
        <w:rPr>
          <w:color w:val="auto"/>
        </w:rPr>
        <w:t>.000)</w:t>
      </w:r>
      <w:r w:rsidR="001C0B57" w:rsidRPr="00FE0720">
        <w:rPr>
          <w:color w:val="auto"/>
        </w:rPr>
        <w:t>;</w:t>
      </w:r>
      <w:r w:rsidRPr="00FE0720">
        <w:rPr>
          <w:color w:val="auto"/>
        </w:rPr>
        <w:t xml:space="preserve"> (budget 75.000 €);</w:t>
      </w:r>
    </w:p>
    <w:p w:rsidR="00747680" w:rsidRDefault="00747680" w:rsidP="002A2C4A">
      <w:pPr>
        <w:pStyle w:val="Paragrafoelenco"/>
        <w:numPr>
          <w:ilvl w:val="0"/>
          <w:numId w:val="16"/>
        </w:numPr>
        <w:rPr>
          <w:color w:val="auto"/>
        </w:rPr>
      </w:pPr>
      <w:r w:rsidRPr="00FE0720">
        <w:rPr>
          <w:color w:val="auto"/>
        </w:rPr>
        <w:t xml:space="preserve">Contributo studio per figli dipendenti da materna ad università – welfare PTA </w:t>
      </w:r>
      <w:r w:rsidR="00FE0720" w:rsidRPr="00FE0720">
        <w:rPr>
          <w:color w:val="auto"/>
        </w:rPr>
        <w:t>64</w:t>
      </w:r>
      <w:r w:rsidRPr="00FE0720">
        <w:rPr>
          <w:color w:val="auto"/>
        </w:rPr>
        <w:t>.000</w:t>
      </w:r>
      <w:r w:rsidR="00FE0720" w:rsidRPr="00FE0720">
        <w:rPr>
          <w:color w:val="auto"/>
        </w:rPr>
        <w:t xml:space="preserve"> € (+8</w:t>
      </w:r>
      <w:r w:rsidRPr="00FE0720">
        <w:rPr>
          <w:color w:val="auto"/>
        </w:rPr>
        <w:t>.000)</w:t>
      </w:r>
      <w:r w:rsidR="001C0B57" w:rsidRPr="00FE0720">
        <w:rPr>
          <w:color w:val="auto"/>
        </w:rPr>
        <w:t>;</w:t>
      </w:r>
      <w:r w:rsidR="00FE0720" w:rsidRPr="00FE0720">
        <w:rPr>
          <w:color w:val="auto"/>
        </w:rPr>
        <w:t xml:space="preserve"> (budget 170.000 €);</w:t>
      </w:r>
    </w:p>
    <w:p w:rsidR="00436556" w:rsidRPr="00FE0720" w:rsidRDefault="00436556" w:rsidP="002A2C4A">
      <w:pPr>
        <w:pStyle w:val="Paragrafoelenco"/>
        <w:numPr>
          <w:ilvl w:val="0"/>
          <w:numId w:val="16"/>
        </w:numPr>
        <w:rPr>
          <w:color w:val="auto"/>
        </w:rPr>
      </w:pPr>
      <w:r>
        <w:rPr>
          <w:color w:val="auto"/>
        </w:rPr>
        <w:t>Contributo non autosufficienza PTA 18.000 € (novità); (budget 200.000 €);</w:t>
      </w:r>
    </w:p>
    <w:p w:rsidR="00747680" w:rsidRPr="00FE0720" w:rsidRDefault="00747680" w:rsidP="002A2C4A">
      <w:pPr>
        <w:pStyle w:val="Paragrafoelenco"/>
        <w:numPr>
          <w:ilvl w:val="0"/>
          <w:numId w:val="16"/>
        </w:numPr>
        <w:rPr>
          <w:color w:val="auto"/>
        </w:rPr>
      </w:pPr>
      <w:r w:rsidRPr="00FE0720">
        <w:rPr>
          <w:color w:val="auto"/>
        </w:rPr>
        <w:t>Assistenza</w:t>
      </w:r>
      <w:r w:rsidR="006F5E64" w:rsidRPr="00FE0720">
        <w:rPr>
          <w:color w:val="auto"/>
        </w:rPr>
        <w:t xml:space="preserve"> sanitaria – welfare d</w:t>
      </w:r>
      <w:r w:rsidR="00FE0720" w:rsidRPr="00FE0720">
        <w:rPr>
          <w:color w:val="auto"/>
        </w:rPr>
        <w:t>ocenti 374</w:t>
      </w:r>
      <w:r w:rsidRPr="00FE0720">
        <w:rPr>
          <w:color w:val="auto"/>
        </w:rPr>
        <w:t>.000</w:t>
      </w:r>
      <w:r w:rsidR="00FE0720" w:rsidRPr="00FE0720">
        <w:rPr>
          <w:color w:val="auto"/>
        </w:rPr>
        <w:t xml:space="preserve"> € (-41</w:t>
      </w:r>
      <w:r w:rsidRPr="00FE0720">
        <w:rPr>
          <w:color w:val="auto"/>
        </w:rPr>
        <w:t>.000)</w:t>
      </w:r>
      <w:r w:rsidR="00FE0720">
        <w:rPr>
          <w:color w:val="auto"/>
        </w:rPr>
        <w:t>; (budget 565.000 €);</w:t>
      </w:r>
    </w:p>
    <w:p w:rsidR="00747680" w:rsidRPr="00436556" w:rsidRDefault="00747680" w:rsidP="002A2C4A">
      <w:pPr>
        <w:pStyle w:val="Paragrafoelenco"/>
        <w:numPr>
          <w:ilvl w:val="0"/>
          <w:numId w:val="16"/>
        </w:numPr>
        <w:rPr>
          <w:color w:val="auto"/>
        </w:rPr>
      </w:pPr>
      <w:r w:rsidRPr="00436556">
        <w:rPr>
          <w:color w:val="auto"/>
        </w:rPr>
        <w:t>Contributo mobili</w:t>
      </w:r>
      <w:r w:rsidR="006F5B24" w:rsidRPr="00436556">
        <w:rPr>
          <w:color w:val="auto"/>
        </w:rPr>
        <w:t xml:space="preserve">tà </w:t>
      </w:r>
      <w:r w:rsidR="00FE0720" w:rsidRPr="00436556">
        <w:rPr>
          <w:color w:val="auto"/>
        </w:rPr>
        <w:t>– welfare docenti 33</w:t>
      </w:r>
      <w:r w:rsidR="00436556" w:rsidRPr="00436556">
        <w:rPr>
          <w:color w:val="auto"/>
        </w:rPr>
        <w:t>2.000 € (+132</w:t>
      </w:r>
      <w:r w:rsidRPr="00436556">
        <w:rPr>
          <w:color w:val="auto"/>
        </w:rPr>
        <w:t>.000)</w:t>
      </w:r>
      <w:r w:rsidR="00FE0720" w:rsidRPr="00436556">
        <w:rPr>
          <w:color w:val="auto"/>
        </w:rPr>
        <w:t xml:space="preserve">; (budget </w:t>
      </w:r>
      <w:r w:rsidR="00436556" w:rsidRPr="00436556">
        <w:rPr>
          <w:color w:val="auto"/>
        </w:rPr>
        <w:t>250.000 €);</w:t>
      </w:r>
    </w:p>
    <w:p w:rsidR="00747680" w:rsidRPr="00436556" w:rsidRDefault="00747680" w:rsidP="006D2EDA">
      <w:pPr>
        <w:pStyle w:val="Paragrafoelenco"/>
        <w:numPr>
          <w:ilvl w:val="0"/>
          <w:numId w:val="16"/>
        </w:numPr>
        <w:rPr>
          <w:color w:val="auto"/>
        </w:rPr>
      </w:pPr>
      <w:r w:rsidRPr="00436556">
        <w:rPr>
          <w:color w:val="auto"/>
        </w:rPr>
        <w:t>Asili nido – welfare do</w:t>
      </w:r>
      <w:r w:rsidR="00436556" w:rsidRPr="00436556">
        <w:rPr>
          <w:color w:val="auto"/>
        </w:rPr>
        <w:t>centi 8</w:t>
      </w:r>
      <w:r w:rsidRPr="00436556">
        <w:rPr>
          <w:color w:val="auto"/>
        </w:rPr>
        <w:t>.000</w:t>
      </w:r>
      <w:r w:rsidR="006F5B24" w:rsidRPr="00436556">
        <w:rPr>
          <w:color w:val="auto"/>
        </w:rPr>
        <w:t xml:space="preserve"> </w:t>
      </w:r>
      <w:r w:rsidRPr="00436556">
        <w:rPr>
          <w:color w:val="auto"/>
        </w:rPr>
        <w:t>€ (</w:t>
      </w:r>
      <w:r w:rsidR="00436556" w:rsidRPr="00436556">
        <w:rPr>
          <w:color w:val="auto"/>
        </w:rPr>
        <w:t>-12</w:t>
      </w:r>
      <w:r w:rsidR="006F5B24" w:rsidRPr="00436556">
        <w:rPr>
          <w:color w:val="auto"/>
        </w:rPr>
        <w:t>.000</w:t>
      </w:r>
      <w:r w:rsidRPr="00436556">
        <w:rPr>
          <w:color w:val="auto"/>
        </w:rPr>
        <w:t>)</w:t>
      </w:r>
      <w:r w:rsidR="001C0B57" w:rsidRPr="00436556">
        <w:rPr>
          <w:color w:val="auto"/>
        </w:rPr>
        <w:t>;</w:t>
      </w:r>
      <w:r w:rsidR="00436556" w:rsidRPr="00436556">
        <w:rPr>
          <w:color w:val="auto"/>
        </w:rPr>
        <w:t xml:space="preserve"> (budget 36.000 €);</w:t>
      </w:r>
    </w:p>
    <w:p w:rsidR="00747680" w:rsidRPr="00436556" w:rsidRDefault="00747680" w:rsidP="002A2C4A">
      <w:pPr>
        <w:pStyle w:val="Paragrafoelenco"/>
        <w:numPr>
          <w:ilvl w:val="0"/>
          <w:numId w:val="16"/>
        </w:numPr>
        <w:rPr>
          <w:color w:val="auto"/>
        </w:rPr>
      </w:pPr>
      <w:r w:rsidRPr="00436556">
        <w:rPr>
          <w:color w:val="auto"/>
        </w:rPr>
        <w:t>Ce</w:t>
      </w:r>
      <w:r w:rsidR="00436556" w:rsidRPr="00436556">
        <w:rPr>
          <w:color w:val="auto"/>
        </w:rPr>
        <w:t>ntri estivi – welfare docenti 6</w:t>
      </w:r>
      <w:r w:rsidRPr="00436556">
        <w:rPr>
          <w:color w:val="auto"/>
        </w:rPr>
        <w:t>.000</w:t>
      </w:r>
      <w:r w:rsidR="006F5E64" w:rsidRPr="00436556">
        <w:rPr>
          <w:color w:val="auto"/>
        </w:rPr>
        <w:t xml:space="preserve"> </w:t>
      </w:r>
      <w:r w:rsidRPr="00436556">
        <w:rPr>
          <w:color w:val="auto"/>
        </w:rPr>
        <w:t xml:space="preserve">€ </w:t>
      </w:r>
      <w:r w:rsidR="006F5E64" w:rsidRPr="00436556">
        <w:rPr>
          <w:color w:val="auto"/>
        </w:rPr>
        <w:t>(</w:t>
      </w:r>
      <w:r w:rsidR="00436556" w:rsidRPr="00436556">
        <w:rPr>
          <w:color w:val="auto"/>
        </w:rPr>
        <w:t>-4.000</w:t>
      </w:r>
      <w:r w:rsidRPr="00436556">
        <w:rPr>
          <w:color w:val="auto"/>
        </w:rPr>
        <w:t>)</w:t>
      </w:r>
      <w:r w:rsidR="001C0B57" w:rsidRPr="00436556">
        <w:rPr>
          <w:color w:val="auto"/>
        </w:rPr>
        <w:t>;</w:t>
      </w:r>
      <w:r w:rsidR="00436556" w:rsidRPr="00436556">
        <w:rPr>
          <w:color w:val="auto"/>
        </w:rPr>
        <w:t xml:space="preserve"> (budget 10.000 €);</w:t>
      </w:r>
    </w:p>
    <w:p w:rsidR="00747680" w:rsidRPr="00436556" w:rsidRDefault="00747680" w:rsidP="002A2C4A">
      <w:pPr>
        <w:pStyle w:val="Paragrafoelenco"/>
        <w:numPr>
          <w:ilvl w:val="0"/>
          <w:numId w:val="16"/>
        </w:numPr>
        <w:rPr>
          <w:color w:val="auto"/>
        </w:rPr>
      </w:pPr>
      <w:r w:rsidRPr="00436556">
        <w:rPr>
          <w:color w:val="auto"/>
        </w:rPr>
        <w:t>Contributo studio per figli dipendenti da materna ad</w:t>
      </w:r>
      <w:r w:rsidR="00436556" w:rsidRPr="00436556">
        <w:rPr>
          <w:color w:val="auto"/>
        </w:rPr>
        <w:t xml:space="preserve"> università – welfare docenti 18</w:t>
      </w:r>
      <w:r w:rsidRPr="00436556">
        <w:rPr>
          <w:color w:val="auto"/>
        </w:rPr>
        <w:t>.000</w:t>
      </w:r>
      <w:r w:rsidR="00436556" w:rsidRPr="00436556">
        <w:rPr>
          <w:color w:val="auto"/>
        </w:rPr>
        <w:t xml:space="preserve"> € (+3</w:t>
      </w:r>
      <w:r w:rsidRPr="00436556">
        <w:rPr>
          <w:color w:val="auto"/>
        </w:rPr>
        <w:t>.000)</w:t>
      </w:r>
      <w:r w:rsidR="001C0B57" w:rsidRPr="00436556">
        <w:rPr>
          <w:color w:val="auto"/>
        </w:rPr>
        <w:t>;</w:t>
      </w:r>
      <w:r w:rsidR="00436556" w:rsidRPr="00436556">
        <w:rPr>
          <w:color w:val="auto"/>
        </w:rPr>
        <w:t xml:space="preserve"> (budget 25.000 €);</w:t>
      </w:r>
    </w:p>
    <w:p w:rsidR="00747680" w:rsidRPr="00436556" w:rsidRDefault="00747680" w:rsidP="002A2C4A">
      <w:pPr>
        <w:pStyle w:val="Paragrafoelenco"/>
        <w:numPr>
          <w:ilvl w:val="0"/>
          <w:numId w:val="16"/>
        </w:numPr>
        <w:rPr>
          <w:color w:val="auto"/>
        </w:rPr>
      </w:pPr>
      <w:r w:rsidRPr="00436556">
        <w:rPr>
          <w:color w:val="auto"/>
        </w:rPr>
        <w:t>Asili nido – welfare dottorand</w:t>
      </w:r>
      <w:r w:rsidR="006F5B24" w:rsidRPr="00436556">
        <w:rPr>
          <w:color w:val="auto"/>
        </w:rPr>
        <w:t xml:space="preserve">i, </w:t>
      </w:r>
      <w:r w:rsidR="00436556" w:rsidRPr="00436556">
        <w:rPr>
          <w:color w:val="auto"/>
        </w:rPr>
        <w:t>specializzandi, assegnisti 48</w:t>
      </w:r>
      <w:r w:rsidRPr="00436556">
        <w:rPr>
          <w:color w:val="auto"/>
        </w:rPr>
        <w:t>.000</w:t>
      </w:r>
      <w:r w:rsidR="00436556" w:rsidRPr="00436556">
        <w:rPr>
          <w:color w:val="auto"/>
        </w:rPr>
        <w:t xml:space="preserve"> € (-18</w:t>
      </w:r>
      <w:r w:rsidRPr="00436556">
        <w:rPr>
          <w:color w:val="auto"/>
        </w:rPr>
        <w:t>.000)</w:t>
      </w:r>
      <w:r w:rsidR="001C0B57" w:rsidRPr="00436556">
        <w:rPr>
          <w:color w:val="auto"/>
        </w:rPr>
        <w:t>;</w:t>
      </w:r>
      <w:r w:rsidR="00436556" w:rsidRPr="00436556">
        <w:rPr>
          <w:color w:val="auto"/>
        </w:rPr>
        <w:t xml:space="preserve"> (budget 110.000 €);</w:t>
      </w:r>
    </w:p>
    <w:p w:rsidR="00747680" w:rsidRPr="00436556" w:rsidRDefault="00747680" w:rsidP="002A2C4A">
      <w:pPr>
        <w:pStyle w:val="Paragrafoelenco"/>
        <w:numPr>
          <w:ilvl w:val="0"/>
          <w:numId w:val="16"/>
        </w:numPr>
        <w:rPr>
          <w:color w:val="auto"/>
        </w:rPr>
      </w:pPr>
      <w:r w:rsidRPr="00436556">
        <w:rPr>
          <w:color w:val="auto"/>
        </w:rPr>
        <w:t>Centri estivi – welfare dottoran</w:t>
      </w:r>
      <w:r w:rsidR="00436556" w:rsidRPr="00436556">
        <w:rPr>
          <w:color w:val="auto"/>
        </w:rPr>
        <w:t>di, specializzandi, assegnisti 2</w:t>
      </w:r>
      <w:r w:rsidRPr="00436556">
        <w:rPr>
          <w:color w:val="auto"/>
        </w:rPr>
        <w:t>.000</w:t>
      </w:r>
      <w:r w:rsidR="00A378F3" w:rsidRPr="00436556">
        <w:rPr>
          <w:color w:val="auto"/>
        </w:rPr>
        <w:t xml:space="preserve"> </w:t>
      </w:r>
      <w:r w:rsidR="00436556" w:rsidRPr="00436556">
        <w:rPr>
          <w:color w:val="auto"/>
        </w:rPr>
        <w:t>€ (-</w:t>
      </w:r>
      <w:r w:rsidRPr="00436556">
        <w:rPr>
          <w:color w:val="auto"/>
        </w:rPr>
        <w:t>2.000)</w:t>
      </w:r>
      <w:r w:rsidR="001C0B57" w:rsidRPr="00436556">
        <w:rPr>
          <w:color w:val="auto"/>
        </w:rPr>
        <w:t>;</w:t>
      </w:r>
      <w:r w:rsidR="00436556" w:rsidRPr="00436556">
        <w:rPr>
          <w:color w:val="auto"/>
        </w:rPr>
        <w:t xml:space="preserve"> (budget 10.000 €);</w:t>
      </w:r>
    </w:p>
    <w:p w:rsidR="002A2C4A" w:rsidRPr="00436556" w:rsidRDefault="002A2C4A" w:rsidP="002A2C4A">
      <w:pPr>
        <w:pStyle w:val="Paragrafoelenco"/>
        <w:numPr>
          <w:ilvl w:val="0"/>
          <w:numId w:val="16"/>
        </w:numPr>
        <w:rPr>
          <w:color w:val="auto"/>
        </w:rPr>
      </w:pPr>
      <w:r w:rsidRPr="00436556">
        <w:rPr>
          <w:color w:val="auto"/>
        </w:rPr>
        <w:t>Associa</w:t>
      </w:r>
      <w:r w:rsidR="00AF0C51" w:rsidRPr="00436556">
        <w:rPr>
          <w:color w:val="auto"/>
        </w:rPr>
        <w:t>zione dei dipendenti (ARCUS) 131</w:t>
      </w:r>
      <w:r w:rsidRPr="00436556">
        <w:rPr>
          <w:color w:val="auto"/>
        </w:rPr>
        <w:t>.000</w:t>
      </w:r>
      <w:r w:rsidR="00A378F3" w:rsidRPr="00436556">
        <w:rPr>
          <w:color w:val="auto"/>
        </w:rPr>
        <w:t xml:space="preserve"> </w:t>
      </w:r>
      <w:r w:rsidR="00AF0C51" w:rsidRPr="00436556">
        <w:rPr>
          <w:color w:val="auto"/>
        </w:rPr>
        <w:t>€ (-77</w:t>
      </w:r>
      <w:r w:rsidRPr="00436556">
        <w:rPr>
          <w:color w:val="auto"/>
        </w:rPr>
        <w:t>.000);</w:t>
      </w:r>
    </w:p>
    <w:p w:rsidR="002A2C4A" w:rsidRPr="00AF0C51" w:rsidRDefault="00AF0C51" w:rsidP="002A2C4A">
      <w:pPr>
        <w:pStyle w:val="Paragrafoelenco"/>
        <w:numPr>
          <w:ilvl w:val="0"/>
          <w:numId w:val="16"/>
        </w:numPr>
        <w:rPr>
          <w:color w:val="auto"/>
        </w:rPr>
      </w:pPr>
      <w:r w:rsidRPr="00AF0C51">
        <w:rPr>
          <w:color w:val="auto"/>
        </w:rPr>
        <w:t>Trasporto disabili 1</w:t>
      </w:r>
      <w:r w:rsidR="002A2C4A" w:rsidRPr="00AF0C51">
        <w:rPr>
          <w:color w:val="auto"/>
        </w:rPr>
        <w:t>9.000</w:t>
      </w:r>
      <w:r w:rsidR="00A378F3" w:rsidRPr="00AF0C51">
        <w:rPr>
          <w:color w:val="auto"/>
        </w:rPr>
        <w:t xml:space="preserve"> </w:t>
      </w:r>
      <w:r w:rsidR="002A2C4A" w:rsidRPr="00AF0C51">
        <w:rPr>
          <w:color w:val="auto"/>
        </w:rPr>
        <w:t>€ (</w:t>
      </w:r>
      <w:r w:rsidRPr="00AF0C51">
        <w:rPr>
          <w:color w:val="auto"/>
        </w:rPr>
        <w:t>-29.000</w:t>
      </w:r>
      <w:r w:rsidR="002A2C4A" w:rsidRPr="00AF0C51">
        <w:rPr>
          <w:color w:val="auto"/>
        </w:rPr>
        <w:t>);</w:t>
      </w:r>
    </w:p>
    <w:p w:rsidR="002A2C4A" w:rsidRDefault="002A2C4A" w:rsidP="002A2C4A">
      <w:pPr>
        <w:pStyle w:val="Paragrafoelenco"/>
        <w:numPr>
          <w:ilvl w:val="0"/>
          <w:numId w:val="16"/>
        </w:numPr>
        <w:rPr>
          <w:color w:val="auto"/>
        </w:rPr>
      </w:pPr>
      <w:r w:rsidRPr="00AF0C51">
        <w:rPr>
          <w:color w:val="auto"/>
        </w:rPr>
        <w:t xml:space="preserve">Costi </w:t>
      </w:r>
      <w:r w:rsidR="00744FD7" w:rsidRPr="00AF0C51">
        <w:rPr>
          <w:color w:val="auto"/>
        </w:rPr>
        <w:t xml:space="preserve">per vigilanza test d’ingresso </w:t>
      </w:r>
      <w:r w:rsidR="00AF0C51" w:rsidRPr="00AF0C51">
        <w:rPr>
          <w:color w:val="auto"/>
        </w:rPr>
        <w:t>80</w:t>
      </w:r>
      <w:r w:rsidRPr="00AF0C51">
        <w:rPr>
          <w:color w:val="auto"/>
        </w:rPr>
        <w:t>.000</w:t>
      </w:r>
      <w:r w:rsidR="00A378F3" w:rsidRPr="00AF0C51">
        <w:rPr>
          <w:color w:val="auto"/>
        </w:rPr>
        <w:t xml:space="preserve"> </w:t>
      </w:r>
      <w:r w:rsidRPr="00AF0C51">
        <w:rPr>
          <w:color w:val="auto"/>
        </w:rPr>
        <w:t>€</w:t>
      </w:r>
      <w:r w:rsidR="00AF0C51" w:rsidRPr="00AF0C51">
        <w:rPr>
          <w:color w:val="auto"/>
        </w:rPr>
        <w:t xml:space="preserve"> (+6</w:t>
      </w:r>
      <w:r w:rsidRPr="00AF0C51">
        <w:rPr>
          <w:color w:val="auto"/>
        </w:rPr>
        <w:t>.000).</w:t>
      </w:r>
    </w:p>
    <w:p w:rsidR="00AF0C51" w:rsidRPr="00436556" w:rsidRDefault="00436556" w:rsidP="00AF0C51">
      <w:pPr>
        <w:rPr>
          <w:i/>
          <w:color w:val="C00000"/>
        </w:rPr>
      </w:pPr>
      <w:r w:rsidRPr="00436556">
        <w:rPr>
          <w:i/>
          <w:color w:val="C00000"/>
        </w:rPr>
        <w:t xml:space="preserve">Commento. Aumento importante dei costi per la mobilità, in particolare della docenza. Sulle altre voci di welfare, in particolare quelle a beneficio dei figli dei lavoratori, si registrano ampi margini positivi </w:t>
      </w:r>
      <w:r>
        <w:rPr>
          <w:i/>
          <w:color w:val="C00000"/>
        </w:rPr>
        <w:t xml:space="preserve">dei costi </w:t>
      </w:r>
      <w:r w:rsidRPr="00436556">
        <w:rPr>
          <w:i/>
          <w:color w:val="C00000"/>
        </w:rPr>
        <w:t>rispetto al budget a disposizione: ciò giustifica un aumento del 30% dei contributi massimi a favore del personale</w:t>
      </w:r>
      <w:r>
        <w:rPr>
          <w:i/>
          <w:color w:val="C00000"/>
        </w:rPr>
        <w:t>,</w:t>
      </w:r>
      <w:r w:rsidRPr="00436556">
        <w:rPr>
          <w:i/>
          <w:color w:val="C00000"/>
        </w:rPr>
        <w:t xml:space="preserve"> come richiesto dalla CGIL.</w:t>
      </w:r>
      <w:r>
        <w:rPr>
          <w:i/>
          <w:color w:val="C00000"/>
        </w:rPr>
        <w:t xml:space="preserve"> Il contributo per i non autosufficienti è ampiamente sovra</w:t>
      </w:r>
      <w:r w:rsidR="00094A49">
        <w:rPr>
          <w:i/>
          <w:color w:val="C00000"/>
        </w:rPr>
        <w:t>-</w:t>
      </w:r>
      <w:r>
        <w:rPr>
          <w:i/>
          <w:color w:val="C00000"/>
        </w:rPr>
        <w:t>finanziato rispetto al necessario.</w:t>
      </w:r>
    </w:p>
    <w:p w:rsidR="002A2C4A" w:rsidRPr="009B6196" w:rsidRDefault="002A2C4A" w:rsidP="00747680">
      <w:pPr>
        <w:ind w:left="0" w:firstLine="0"/>
        <w:rPr>
          <w:highlight w:val="yellow"/>
        </w:rPr>
      </w:pPr>
    </w:p>
    <w:p w:rsidR="00454745" w:rsidRPr="00734C5C" w:rsidRDefault="00454745" w:rsidP="00454745">
      <w:pPr>
        <w:ind w:left="0" w:firstLine="0"/>
      </w:pPr>
      <w:r w:rsidRPr="00734C5C">
        <w:rPr>
          <w:b/>
        </w:rPr>
        <w:t xml:space="preserve">XI) </w:t>
      </w:r>
      <w:r w:rsidRPr="00734C5C">
        <w:rPr>
          <w:rFonts w:eastAsia="Times New Roman"/>
          <w:b/>
          <w:bCs/>
          <w:szCs w:val="20"/>
        </w:rPr>
        <w:t>ACCANTONAMENTI PER RISCHI E ONERI</w:t>
      </w:r>
      <w:r w:rsidR="006E3C2F" w:rsidRPr="00734C5C">
        <w:t xml:space="preserve"> (pg. 161</w:t>
      </w:r>
      <w:r w:rsidR="00734C5C">
        <w:t xml:space="preserve"> e 79-82</w:t>
      </w:r>
      <w:r w:rsidRPr="00734C5C">
        <w:t>)</w:t>
      </w:r>
      <w:r w:rsidR="00091DC5" w:rsidRPr="00734C5C">
        <w:t xml:space="preserve"> </w:t>
      </w:r>
      <w:r w:rsidR="00AF0C51" w:rsidRPr="00734C5C">
        <w:t>= 16,4 M (-10,1</w:t>
      </w:r>
      <w:r w:rsidRPr="00734C5C">
        <w:t>):</w:t>
      </w:r>
    </w:p>
    <w:p w:rsidR="00454745" w:rsidRPr="00734C5C" w:rsidRDefault="00454745" w:rsidP="00747680">
      <w:pPr>
        <w:ind w:left="0" w:firstLine="0"/>
      </w:pPr>
    </w:p>
    <w:p w:rsidR="00747680" w:rsidRPr="00E03E57" w:rsidRDefault="00327334" w:rsidP="009F1806">
      <w:pPr>
        <w:pStyle w:val="Paragrafoelenco"/>
        <w:numPr>
          <w:ilvl w:val="0"/>
          <w:numId w:val="18"/>
        </w:numPr>
        <w:rPr>
          <w:rFonts w:eastAsia="Times New Roman"/>
          <w:color w:val="auto"/>
          <w:szCs w:val="20"/>
        </w:rPr>
      </w:pPr>
      <w:r w:rsidRPr="00E03E57">
        <w:rPr>
          <w:rFonts w:eastAsia="Times New Roman"/>
          <w:color w:val="auto"/>
          <w:szCs w:val="20"/>
        </w:rPr>
        <w:t>Accantonamento Fondo comune di Ateneo (da proventi commerciali)</w:t>
      </w:r>
      <w:r w:rsidR="00AF0C51" w:rsidRPr="00E03E57">
        <w:rPr>
          <w:rFonts w:eastAsia="Times New Roman"/>
          <w:color w:val="auto"/>
          <w:szCs w:val="20"/>
        </w:rPr>
        <w:t xml:space="preserve"> 2.713.000€ (-754</w:t>
      </w:r>
      <w:r w:rsidR="001F67DB" w:rsidRPr="00E03E57">
        <w:rPr>
          <w:rFonts w:eastAsia="Times New Roman"/>
          <w:color w:val="auto"/>
          <w:szCs w:val="20"/>
        </w:rPr>
        <w:t>.000)</w:t>
      </w:r>
      <w:r w:rsidRPr="00E03E57">
        <w:rPr>
          <w:rFonts w:eastAsia="Times New Roman"/>
          <w:color w:val="auto"/>
          <w:szCs w:val="20"/>
        </w:rPr>
        <w:t>;</w:t>
      </w:r>
    </w:p>
    <w:p w:rsidR="00BE5FB1" w:rsidRPr="00036EFB" w:rsidRDefault="00A4586A" w:rsidP="00BE5FB1">
      <w:pPr>
        <w:pStyle w:val="Paragrafoelenco"/>
        <w:ind w:firstLine="0"/>
        <w:rPr>
          <w:rFonts w:eastAsia="Times New Roman"/>
          <w:i/>
          <w:color w:val="C00000"/>
          <w:szCs w:val="20"/>
        </w:rPr>
      </w:pPr>
      <w:r w:rsidRPr="00036EFB">
        <w:rPr>
          <w:rFonts w:eastAsia="Times New Roman"/>
          <w:i/>
          <w:color w:val="C00000"/>
          <w:szCs w:val="20"/>
        </w:rPr>
        <w:t>Commento. L’accantonamento cala di 754.000 ma realmente il calo sul F</w:t>
      </w:r>
      <w:r w:rsidR="00A37246">
        <w:rPr>
          <w:rFonts w:eastAsia="Times New Roman"/>
          <w:i/>
          <w:color w:val="C00000"/>
          <w:szCs w:val="20"/>
        </w:rPr>
        <w:t>.</w:t>
      </w:r>
      <w:r w:rsidRPr="00036EFB">
        <w:rPr>
          <w:rFonts w:eastAsia="Times New Roman"/>
          <w:i/>
          <w:color w:val="C00000"/>
          <w:szCs w:val="20"/>
        </w:rPr>
        <w:t>C</w:t>
      </w:r>
      <w:r w:rsidR="00A37246">
        <w:rPr>
          <w:rFonts w:eastAsia="Times New Roman"/>
          <w:i/>
          <w:color w:val="C00000"/>
          <w:szCs w:val="20"/>
        </w:rPr>
        <w:t>.</w:t>
      </w:r>
      <w:r w:rsidRPr="00036EFB">
        <w:rPr>
          <w:rFonts w:eastAsia="Times New Roman"/>
          <w:i/>
          <w:color w:val="C00000"/>
          <w:szCs w:val="20"/>
        </w:rPr>
        <w:t>A</w:t>
      </w:r>
      <w:r w:rsidR="00A37246">
        <w:rPr>
          <w:rFonts w:eastAsia="Times New Roman"/>
          <w:i/>
          <w:color w:val="C00000"/>
          <w:szCs w:val="20"/>
        </w:rPr>
        <w:t>.</w:t>
      </w:r>
      <w:r w:rsidRPr="00036EFB">
        <w:rPr>
          <w:rFonts w:eastAsia="Times New Roman"/>
          <w:i/>
          <w:color w:val="C00000"/>
          <w:szCs w:val="20"/>
        </w:rPr>
        <w:t xml:space="preserve"> è anc</w:t>
      </w:r>
      <w:r w:rsidR="00036EFB" w:rsidRPr="00036EFB">
        <w:rPr>
          <w:rFonts w:eastAsia="Times New Roman"/>
          <w:i/>
          <w:color w:val="C00000"/>
          <w:szCs w:val="20"/>
        </w:rPr>
        <w:t>ora maggiore. Questo perchè da luglio 2019, fu ripristinato il F</w:t>
      </w:r>
      <w:r w:rsidR="00A37246">
        <w:rPr>
          <w:rFonts w:eastAsia="Times New Roman"/>
          <w:i/>
          <w:color w:val="C00000"/>
          <w:szCs w:val="20"/>
        </w:rPr>
        <w:t>.</w:t>
      </w:r>
      <w:r w:rsidR="00036EFB" w:rsidRPr="00036EFB">
        <w:rPr>
          <w:rFonts w:eastAsia="Times New Roman"/>
          <w:i/>
          <w:color w:val="C00000"/>
          <w:szCs w:val="20"/>
        </w:rPr>
        <w:t>C</w:t>
      </w:r>
      <w:r w:rsidR="00A37246">
        <w:rPr>
          <w:rFonts w:eastAsia="Times New Roman"/>
          <w:i/>
          <w:color w:val="C00000"/>
          <w:szCs w:val="20"/>
        </w:rPr>
        <w:t>.A.</w:t>
      </w:r>
      <w:r w:rsidR="008E3CD8">
        <w:rPr>
          <w:rFonts w:eastAsia="Times New Roman"/>
          <w:i/>
          <w:color w:val="C00000"/>
          <w:szCs w:val="20"/>
        </w:rPr>
        <w:t xml:space="preserve"> </w:t>
      </w:r>
      <w:r w:rsidR="00036EFB" w:rsidRPr="00036EFB">
        <w:rPr>
          <w:rFonts w:eastAsia="Times New Roman"/>
          <w:i/>
          <w:color w:val="C00000"/>
          <w:szCs w:val="20"/>
        </w:rPr>
        <w:t>mensile a valori pieni (100/115/130€ mensili), perciò il fondo in quell’anno fu speso per una cifra inferiore nel primo semestre ed ebbe poi un incremento per il secondo semestre, con impatto inferio</w:t>
      </w:r>
      <w:r w:rsidR="009F4EE1">
        <w:rPr>
          <w:rFonts w:eastAsia="Times New Roman"/>
          <w:i/>
          <w:color w:val="C00000"/>
          <w:szCs w:val="20"/>
        </w:rPr>
        <w:t>re sul conguaglio di quell’anno. Il</w:t>
      </w:r>
      <w:r w:rsidR="00036EFB" w:rsidRPr="00036EFB">
        <w:rPr>
          <w:rFonts w:eastAsia="Times New Roman"/>
          <w:i/>
          <w:color w:val="C00000"/>
          <w:szCs w:val="20"/>
        </w:rPr>
        <w:t xml:space="preserve"> costo di tale ripristino (di 1.200.000 € annui), </w:t>
      </w:r>
      <w:r w:rsidR="001E27DC">
        <w:rPr>
          <w:rFonts w:eastAsia="Times New Roman"/>
          <w:i/>
          <w:color w:val="C00000"/>
          <w:szCs w:val="20"/>
        </w:rPr>
        <w:t>può</w:t>
      </w:r>
      <w:r w:rsidR="00036EFB" w:rsidRPr="00036EFB">
        <w:rPr>
          <w:rFonts w:eastAsia="Times New Roman"/>
          <w:i/>
          <w:color w:val="C00000"/>
          <w:szCs w:val="20"/>
        </w:rPr>
        <w:t xml:space="preserve"> portare (a parità di entrate) ad una riduzione stabile dei conguagli nell’ordine di 1.200.000 € annui</w:t>
      </w:r>
      <w:r w:rsidR="009F4EE1">
        <w:rPr>
          <w:rFonts w:eastAsia="Times New Roman"/>
          <w:i/>
          <w:color w:val="C00000"/>
          <w:szCs w:val="20"/>
        </w:rPr>
        <w:t>: per questo è fondamentale incrementare le entrate che alimentano il F.C.A</w:t>
      </w:r>
      <w:r w:rsidR="00036EFB" w:rsidRPr="00036EFB">
        <w:rPr>
          <w:rFonts w:eastAsia="Times New Roman"/>
          <w:i/>
          <w:color w:val="C00000"/>
          <w:szCs w:val="20"/>
        </w:rPr>
        <w:t>. Pertanto tra luglio e dicembre 2019, il ripristino costò 600.000 € che sarebbero da aggiungere in negativo al calo di 754.000 €.</w:t>
      </w:r>
    </w:p>
    <w:p w:rsidR="00734C5C" w:rsidRPr="00E03E57" w:rsidRDefault="00734C5C" w:rsidP="009F1806">
      <w:pPr>
        <w:pStyle w:val="Paragrafoelenco"/>
        <w:numPr>
          <w:ilvl w:val="0"/>
          <w:numId w:val="18"/>
        </w:numPr>
        <w:rPr>
          <w:rFonts w:eastAsia="Times New Roman"/>
          <w:color w:val="auto"/>
          <w:szCs w:val="20"/>
        </w:rPr>
      </w:pPr>
      <w:r w:rsidRPr="00E03E57">
        <w:rPr>
          <w:rFonts w:eastAsia="Times New Roman"/>
          <w:color w:val="auto"/>
          <w:szCs w:val="20"/>
        </w:rPr>
        <w:t>Accantonamento Fondo rinnovi contr</w:t>
      </w:r>
      <w:r w:rsidR="001E31A7" w:rsidRPr="00E03E57">
        <w:rPr>
          <w:rFonts w:eastAsia="Times New Roman"/>
          <w:color w:val="auto"/>
          <w:szCs w:val="20"/>
        </w:rPr>
        <w:t>attuali 1.788.000 € (+1.788.000</w:t>
      </w:r>
      <w:r w:rsidRPr="00E03E57">
        <w:rPr>
          <w:rFonts w:eastAsia="Times New Roman"/>
          <w:color w:val="auto"/>
          <w:szCs w:val="20"/>
        </w:rPr>
        <w:t>, novità);</w:t>
      </w:r>
    </w:p>
    <w:p w:rsidR="001E31A7" w:rsidRPr="00036EFB" w:rsidRDefault="00036EFB" w:rsidP="001E31A7">
      <w:pPr>
        <w:pStyle w:val="Paragrafoelenco"/>
        <w:ind w:firstLine="0"/>
        <w:rPr>
          <w:rFonts w:eastAsia="Times New Roman"/>
          <w:i/>
          <w:color w:val="C00000"/>
          <w:szCs w:val="20"/>
        </w:rPr>
      </w:pPr>
      <w:r w:rsidRPr="00036EFB">
        <w:rPr>
          <w:rFonts w:eastAsia="Times New Roman"/>
          <w:i/>
          <w:color w:val="C00000"/>
          <w:szCs w:val="20"/>
        </w:rPr>
        <w:t xml:space="preserve">Commento. E’ in previsione il rinnovo del </w:t>
      </w:r>
      <w:r w:rsidR="00A37246">
        <w:rPr>
          <w:rFonts w:eastAsia="Times New Roman"/>
          <w:i/>
          <w:color w:val="C00000"/>
          <w:szCs w:val="20"/>
        </w:rPr>
        <w:t>Contratto Nazionale</w:t>
      </w:r>
      <w:r w:rsidRPr="00036EFB">
        <w:rPr>
          <w:rFonts w:eastAsia="Times New Roman"/>
          <w:i/>
          <w:color w:val="C00000"/>
          <w:szCs w:val="20"/>
        </w:rPr>
        <w:t xml:space="preserve"> del P</w:t>
      </w:r>
      <w:r w:rsidR="00A37246">
        <w:rPr>
          <w:rFonts w:eastAsia="Times New Roman"/>
          <w:i/>
          <w:color w:val="C00000"/>
          <w:szCs w:val="20"/>
        </w:rPr>
        <w:t>.</w:t>
      </w:r>
      <w:r w:rsidRPr="00036EFB">
        <w:rPr>
          <w:rFonts w:eastAsia="Times New Roman"/>
          <w:i/>
          <w:color w:val="C00000"/>
          <w:szCs w:val="20"/>
        </w:rPr>
        <w:t>T</w:t>
      </w:r>
      <w:r w:rsidR="00A37246">
        <w:rPr>
          <w:rFonts w:eastAsia="Times New Roman"/>
          <w:i/>
          <w:color w:val="C00000"/>
          <w:szCs w:val="20"/>
        </w:rPr>
        <w:t>.</w:t>
      </w:r>
      <w:r w:rsidRPr="00036EFB">
        <w:rPr>
          <w:rFonts w:eastAsia="Times New Roman"/>
          <w:i/>
          <w:color w:val="C00000"/>
          <w:szCs w:val="20"/>
        </w:rPr>
        <w:t>A</w:t>
      </w:r>
      <w:r w:rsidR="00A37246">
        <w:rPr>
          <w:rFonts w:eastAsia="Times New Roman"/>
          <w:i/>
          <w:color w:val="C00000"/>
          <w:szCs w:val="20"/>
        </w:rPr>
        <w:t>.</w:t>
      </w:r>
      <w:r w:rsidRPr="00036EFB">
        <w:rPr>
          <w:rFonts w:eastAsia="Times New Roman"/>
          <w:i/>
          <w:color w:val="C00000"/>
          <w:szCs w:val="20"/>
        </w:rPr>
        <w:t xml:space="preserve">: il valore dell’accantonamento </w:t>
      </w:r>
      <w:r>
        <w:rPr>
          <w:rFonts w:eastAsia="Times New Roman"/>
          <w:i/>
          <w:color w:val="C00000"/>
          <w:szCs w:val="20"/>
        </w:rPr>
        <w:t xml:space="preserve">obbligatorio </w:t>
      </w:r>
      <w:r w:rsidRPr="00036EFB">
        <w:rPr>
          <w:rFonts w:eastAsia="Times New Roman"/>
          <w:i/>
          <w:color w:val="C00000"/>
          <w:szCs w:val="20"/>
        </w:rPr>
        <w:t>è calcolato su indicazioni di legge.</w:t>
      </w:r>
    </w:p>
    <w:p w:rsidR="007810C0" w:rsidRPr="00E03E57" w:rsidRDefault="00327334" w:rsidP="009F1806">
      <w:pPr>
        <w:pStyle w:val="Paragrafoelenco"/>
        <w:numPr>
          <w:ilvl w:val="0"/>
          <w:numId w:val="18"/>
        </w:numPr>
        <w:rPr>
          <w:rFonts w:eastAsia="Times New Roman"/>
          <w:color w:val="auto"/>
          <w:szCs w:val="20"/>
        </w:rPr>
      </w:pPr>
      <w:r w:rsidRPr="00F27B31">
        <w:rPr>
          <w:rFonts w:eastAsia="Times New Roman"/>
          <w:szCs w:val="20"/>
        </w:rPr>
        <w:t>Accantonamento Altri fondi per il personale</w:t>
      </w:r>
      <w:r w:rsidR="00734C5C" w:rsidRPr="00F27B31">
        <w:rPr>
          <w:rFonts w:eastAsia="Times New Roman"/>
          <w:szCs w:val="20"/>
        </w:rPr>
        <w:t xml:space="preserve"> 7.488.000 € (+5.715</w:t>
      </w:r>
      <w:r w:rsidR="009F1806" w:rsidRPr="00F27B31">
        <w:rPr>
          <w:rFonts w:eastAsia="Times New Roman"/>
          <w:szCs w:val="20"/>
        </w:rPr>
        <w:t xml:space="preserve">.000): si compone come segue: </w:t>
      </w:r>
      <w:r w:rsidR="001E31A7">
        <w:rPr>
          <w:rFonts w:eastAsia="Times New Roman"/>
          <w:szCs w:val="20"/>
        </w:rPr>
        <w:t xml:space="preserve"> </w:t>
      </w:r>
      <w:r w:rsidR="009F1806" w:rsidRPr="00E03E57">
        <w:rPr>
          <w:rFonts w:eastAsia="Times New Roman"/>
          <w:color w:val="auto"/>
          <w:szCs w:val="20"/>
        </w:rPr>
        <w:t xml:space="preserve">Una tantum </w:t>
      </w:r>
      <w:r w:rsidR="00F27B31" w:rsidRPr="00E03E57">
        <w:rPr>
          <w:rFonts w:eastAsia="Times New Roman"/>
          <w:color w:val="auto"/>
          <w:szCs w:val="20"/>
        </w:rPr>
        <w:t xml:space="preserve">sblocco scatti stipendiali </w:t>
      </w:r>
      <w:r w:rsidR="009F1806" w:rsidRPr="00E03E57">
        <w:rPr>
          <w:rFonts w:eastAsia="Times New Roman"/>
          <w:color w:val="auto"/>
          <w:szCs w:val="20"/>
        </w:rPr>
        <w:t xml:space="preserve">docenti </w:t>
      </w:r>
      <w:r w:rsidR="00426A38" w:rsidRPr="00E03E57">
        <w:rPr>
          <w:rFonts w:eastAsia="Times New Roman"/>
          <w:color w:val="auto"/>
          <w:szCs w:val="20"/>
        </w:rPr>
        <w:t xml:space="preserve">+ rivalutazione ISTAT 1,71%                                         </w:t>
      </w:r>
      <w:r w:rsidR="00F27B31" w:rsidRPr="00E03E57">
        <w:rPr>
          <w:rFonts w:eastAsia="Times New Roman"/>
          <w:color w:val="auto"/>
          <w:szCs w:val="20"/>
        </w:rPr>
        <w:t xml:space="preserve">= </w:t>
      </w:r>
      <w:r w:rsidR="00426A38" w:rsidRPr="00E03E57">
        <w:rPr>
          <w:rFonts w:eastAsia="Times New Roman"/>
          <w:color w:val="auto"/>
          <w:szCs w:val="20"/>
        </w:rPr>
        <w:t xml:space="preserve">3.174.000 € + 2.688.000 € = </w:t>
      </w:r>
      <w:r w:rsidR="00F27B31" w:rsidRPr="00E03E57">
        <w:rPr>
          <w:rFonts w:eastAsia="Times New Roman"/>
          <w:color w:val="auto"/>
          <w:szCs w:val="20"/>
        </w:rPr>
        <w:t>5.862.000 € (+</w:t>
      </w:r>
      <w:r w:rsidR="001E31A7" w:rsidRPr="00E03E57">
        <w:rPr>
          <w:rFonts w:eastAsia="Times New Roman"/>
          <w:color w:val="auto"/>
          <w:szCs w:val="20"/>
        </w:rPr>
        <w:t>5.010.000 €);</w:t>
      </w:r>
    </w:p>
    <w:p w:rsidR="00FB7727" w:rsidRPr="00FB7727" w:rsidRDefault="00FB7727" w:rsidP="00FB7727">
      <w:pPr>
        <w:pStyle w:val="Paragrafoelenco"/>
        <w:ind w:firstLine="0"/>
        <w:rPr>
          <w:rFonts w:eastAsia="Times New Roman"/>
          <w:i/>
          <w:color w:val="C00000"/>
          <w:szCs w:val="20"/>
        </w:rPr>
      </w:pPr>
      <w:r w:rsidRPr="00FB7727">
        <w:rPr>
          <w:rFonts w:eastAsia="Times New Roman"/>
          <w:i/>
          <w:color w:val="C00000"/>
          <w:szCs w:val="20"/>
        </w:rPr>
        <w:t>Commento. Notevolissima nuova spesa di ben 5 milioni di euro a favore dei docenti a carico del bilancio dell’Ateneo;</w:t>
      </w:r>
    </w:p>
    <w:p w:rsidR="001E31A7" w:rsidRPr="00E03E57" w:rsidRDefault="001E31A7" w:rsidP="001E31A7">
      <w:pPr>
        <w:pStyle w:val="Paragrafoelenco"/>
        <w:ind w:firstLine="0"/>
        <w:rPr>
          <w:rFonts w:eastAsia="Times New Roman"/>
          <w:color w:val="auto"/>
          <w:szCs w:val="20"/>
        </w:rPr>
      </w:pPr>
      <w:r w:rsidRPr="00E03E57">
        <w:rPr>
          <w:rFonts w:eastAsia="Times New Roman"/>
          <w:color w:val="auto"/>
          <w:szCs w:val="20"/>
        </w:rPr>
        <w:t>Accantonamento retribuzione responsabilità B-C-D = 701.000 € (-19.000);</w:t>
      </w:r>
    </w:p>
    <w:p w:rsidR="001E31A7" w:rsidRPr="00E03E57" w:rsidRDefault="001E31A7" w:rsidP="001E31A7">
      <w:pPr>
        <w:pStyle w:val="Paragrafoelenco"/>
        <w:ind w:firstLine="0"/>
        <w:rPr>
          <w:rFonts w:eastAsia="Times New Roman"/>
          <w:color w:val="auto"/>
          <w:szCs w:val="20"/>
        </w:rPr>
      </w:pPr>
      <w:r w:rsidRPr="00E03E57">
        <w:rPr>
          <w:rFonts w:eastAsia="Times New Roman"/>
          <w:color w:val="auto"/>
          <w:szCs w:val="20"/>
        </w:rPr>
        <w:t>Accantonamento retribuzione risultato EP a tempo indeterminato = 202.000 € (-35.000);</w:t>
      </w:r>
    </w:p>
    <w:p w:rsidR="001E31A7" w:rsidRPr="00E03E57" w:rsidRDefault="001E31A7" w:rsidP="001E31A7">
      <w:pPr>
        <w:pStyle w:val="Paragrafoelenco"/>
        <w:ind w:firstLine="0"/>
        <w:rPr>
          <w:rFonts w:eastAsia="Times New Roman"/>
          <w:color w:val="auto"/>
          <w:szCs w:val="20"/>
        </w:rPr>
      </w:pPr>
      <w:r w:rsidRPr="00E03E57">
        <w:rPr>
          <w:rFonts w:eastAsia="Times New Roman"/>
          <w:color w:val="auto"/>
          <w:szCs w:val="20"/>
        </w:rPr>
        <w:t>Accantonamento retribuzione risultato EP a tempo determinato = 79.000 € (novità);</w:t>
      </w:r>
    </w:p>
    <w:p w:rsidR="001E31A7" w:rsidRPr="00E03E57" w:rsidRDefault="00FB7727" w:rsidP="001E31A7">
      <w:pPr>
        <w:pStyle w:val="Paragrafoelenco"/>
        <w:ind w:firstLine="0"/>
        <w:rPr>
          <w:rFonts w:eastAsia="Times New Roman"/>
          <w:color w:val="auto"/>
          <w:szCs w:val="20"/>
        </w:rPr>
      </w:pPr>
      <w:r w:rsidRPr="00E03E57">
        <w:rPr>
          <w:rFonts w:eastAsia="Times New Roman"/>
          <w:color w:val="auto"/>
          <w:szCs w:val="20"/>
        </w:rPr>
        <w:t>Accantonamento indennità Direttore Generale = 43.000 € (-3.000);</w:t>
      </w:r>
    </w:p>
    <w:p w:rsidR="00FB7727" w:rsidRPr="00E03E57" w:rsidRDefault="00FB7727" w:rsidP="001E31A7">
      <w:pPr>
        <w:pStyle w:val="Paragrafoelenco"/>
        <w:ind w:firstLine="0"/>
        <w:rPr>
          <w:rFonts w:eastAsia="Times New Roman"/>
          <w:color w:val="auto"/>
          <w:szCs w:val="20"/>
        </w:rPr>
      </w:pPr>
      <w:r w:rsidRPr="00E03E57">
        <w:rPr>
          <w:rFonts w:eastAsia="Times New Roman"/>
          <w:color w:val="auto"/>
          <w:szCs w:val="20"/>
        </w:rPr>
        <w:t>Accantonamento indennità risultato Dirigenti a tempo indeterminato = 178.000 € (+26.000);</w:t>
      </w:r>
    </w:p>
    <w:p w:rsidR="00FB7727" w:rsidRPr="00E03E57" w:rsidRDefault="00FB7727" w:rsidP="001E31A7">
      <w:pPr>
        <w:pStyle w:val="Paragrafoelenco"/>
        <w:ind w:firstLine="0"/>
        <w:rPr>
          <w:rFonts w:eastAsia="Times New Roman"/>
          <w:color w:val="auto"/>
          <w:szCs w:val="20"/>
        </w:rPr>
      </w:pPr>
      <w:r w:rsidRPr="00E03E57">
        <w:rPr>
          <w:rFonts w:eastAsia="Times New Roman"/>
          <w:color w:val="auto"/>
          <w:szCs w:val="20"/>
        </w:rPr>
        <w:t>Accantonamento indennità risultato Dirigenti a tempo determinato = 14.000 € (novità);</w:t>
      </w:r>
    </w:p>
    <w:p w:rsidR="00FB7727" w:rsidRPr="00E03E57" w:rsidRDefault="00FB7727" w:rsidP="001E31A7">
      <w:pPr>
        <w:pStyle w:val="Paragrafoelenco"/>
        <w:ind w:firstLine="0"/>
        <w:rPr>
          <w:rFonts w:eastAsia="Times New Roman"/>
          <w:color w:val="auto"/>
          <w:szCs w:val="20"/>
        </w:rPr>
      </w:pPr>
      <w:r w:rsidRPr="00E03E57">
        <w:rPr>
          <w:rFonts w:eastAsia="Times New Roman"/>
          <w:color w:val="auto"/>
          <w:szCs w:val="20"/>
        </w:rPr>
        <w:t>Accantonamento indennità addetti emergenze 83.000 € (+17.000 €)</w:t>
      </w:r>
    </w:p>
    <w:p w:rsidR="009F1806" w:rsidRPr="00E03E57" w:rsidRDefault="009C5728" w:rsidP="009F1806">
      <w:pPr>
        <w:pStyle w:val="Paragrafoelenco"/>
        <w:ind w:firstLine="0"/>
        <w:rPr>
          <w:rFonts w:eastAsia="Times New Roman"/>
          <w:color w:val="auto"/>
          <w:szCs w:val="20"/>
        </w:rPr>
      </w:pPr>
      <w:r w:rsidRPr="00E03E57">
        <w:rPr>
          <w:rFonts w:eastAsia="Times New Roman"/>
          <w:color w:val="auto"/>
          <w:szCs w:val="20"/>
        </w:rPr>
        <w:t>Rilevazione accantonamento performan</w:t>
      </w:r>
      <w:r w:rsidR="001E31A7" w:rsidRPr="00E03E57">
        <w:rPr>
          <w:rFonts w:eastAsia="Times New Roman"/>
          <w:color w:val="auto"/>
          <w:szCs w:val="20"/>
        </w:rPr>
        <w:t>ce organizzativa personale = 363</w:t>
      </w:r>
      <w:r w:rsidRPr="00E03E57">
        <w:rPr>
          <w:rFonts w:eastAsia="Times New Roman"/>
          <w:color w:val="auto"/>
          <w:szCs w:val="20"/>
        </w:rPr>
        <w:t>.000 €</w:t>
      </w:r>
      <w:r w:rsidR="001E31A7" w:rsidRPr="00E03E57">
        <w:rPr>
          <w:rFonts w:eastAsia="Times New Roman"/>
          <w:color w:val="auto"/>
          <w:szCs w:val="20"/>
        </w:rPr>
        <w:t xml:space="preserve"> (+221.000 €)</w:t>
      </w:r>
      <w:r w:rsidRPr="00E03E57">
        <w:rPr>
          <w:rFonts w:eastAsia="Times New Roman"/>
          <w:color w:val="auto"/>
          <w:szCs w:val="20"/>
        </w:rPr>
        <w:t>,</w:t>
      </w:r>
    </w:p>
    <w:p w:rsidR="00734C5C" w:rsidRPr="00FB7727" w:rsidRDefault="00FB7727" w:rsidP="00734C5C">
      <w:pPr>
        <w:pStyle w:val="Paragrafoelenco"/>
        <w:ind w:firstLine="0"/>
        <w:rPr>
          <w:rFonts w:eastAsia="Times New Roman"/>
          <w:i/>
          <w:color w:val="C00000"/>
          <w:szCs w:val="20"/>
        </w:rPr>
      </w:pPr>
      <w:r w:rsidRPr="00FB7727">
        <w:rPr>
          <w:rFonts w:eastAsia="Times New Roman"/>
          <w:i/>
          <w:color w:val="C00000"/>
          <w:szCs w:val="20"/>
        </w:rPr>
        <w:t>Commento. Nella crescita complessiva di 80.000 € della retribuzione accessoria ha influito principalmente l’assunzione di nuovi EP a tempo determinato e l’</w:t>
      </w:r>
      <w:r>
        <w:rPr>
          <w:rFonts w:eastAsia="Times New Roman"/>
          <w:i/>
          <w:color w:val="C00000"/>
          <w:szCs w:val="20"/>
        </w:rPr>
        <w:t>aumento dell’</w:t>
      </w:r>
      <w:r w:rsidRPr="00FB7727">
        <w:rPr>
          <w:rFonts w:eastAsia="Times New Roman"/>
          <w:i/>
          <w:color w:val="C00000"/>
          <w:szCs w:val="20"/>
        </w:rPr>
        <w:t>indennità di risultato dei Dirigenti. Al contrario è calata la retribuzione di risultato del personale a tempo indeterminato B-C-D-EP</w:t>
      </w:r>
      <w:r>
        <w:rPr>
          <w:rFonts w:eastAsia="Times New Roman"/>
          <w:i/>
          <w:color w:val="C00000"/>
          <w:szCs w:val="20"/>
        </w:rPr>
        <w:t xml:space="preserve"> e del Direttore Generale</w:t>
      </w:r>
      <w:r w:rsidRPr="00FB7727">
        <w:rPr>
          <w:rFonts w:eastAsia="Times New Roman"/>
          <w:i/>
          <w:color w:val="C00000"/>
          <w:szCs w:val="20"/>
        </w:rPr>
        <w:t>.</w:t>
      </w:r>
    </w:p>
    <w:p w:rsidR="00734C5C" w:rsidRPr="00734C5C" w:rsidRDefault="00734C5C" w:rsidP="009F1806">
      <w:pPr>
        <w:pStyle w:val="Paragrafoelenco"/>
        <w:numPr>
          <w:ilvl w:val="0"/>
          <w:numId w:val="19"/>
        </w:numPr>
        <w:rPr>
          <w:color w:val="FF0000"/>
        </w:rPr>
      </w:pPr>
      <w:r w:rsidRPr="00734C5C">
        <w:rPr>
          <w:color w:val="auto"/>
        </w:rPr>
        <w:t xml:space="preserve">Accantonamento fondo svalutazione crediti verso studenti 3 M (-1,6): considerato l’alto rischio di solvibilità di tali crediti, è stato calcolato considerando il 70% dell’ammontare complessivo </w:t>
      </w:r>
      <w:r w:rsidR="00F27B31">
        <w:rPr>
          <w:color w:val="auto"/>
        </w:rPr>
        <w:t>(</w:t>
      </w:r>
      <w:r w:rsidRPr="00734C5C">
        <w:rPr>
          <w:color w:val="auto"/>
        </w:rPr>
        <w:t>dei crediti relativi alle annualità pregresse che al 31.12.2020 erano in corso di riscossione anche per il tramite dell’Agenzia delle Entrate</w:t>
      </w:r>
      <w:r w:rsidR="00FB7727">
        <w:rPr>
          <w:color w:val="auto"/>
        </w:rPr>
        <w:t xml:space="preserve"> (si tratta di tasse dovute dagli studenti, su precedenti anni accademici, e non ancora saldate)</w:t>
      </w:r>
      <w:r w:rsidRPr="00734C5C">
        <w:rPr>
          <w:color w:val="auto"/>
        </w:rPr>
        <w:t>;</w:t>
      </w:r>
    </w:p>
    <w:p w:rsidR="00747680" w:rsidRPr="00E03E57" w:rsidRDefault="005E3D3A" w:rsidP="009F1806">
      <w:pPr>
        <w:pStyle w:val="Paragrafoelenco"/>
        <w:numPr>
          <w:ilvl w:val="0"/>
          <w:numId w:val="19"/>
        </w:numPr>
        <w:rPr>
          <w:color w:val="auto"/>
        </w:rPr>
      </w:pPr>
      <w:r w:rsidRPr="00E03E57">
        <w:rPr>
          <w:rFonts w:eastAsia="Times New Roman"/>
          <w:color w:val="auto"/>
          <w:szCs w:val="20"/>
        </w:rPr>
        <w:t>Accantoname</w:t>
      </w:r>
      <w:r w:rsidR="00734C5C" w:rsidRPr="00E03E57">
        <w:rPr>
          <w:rFonts w:eastAsia="Times New Roman"/>
          <w:color w:val="auto"/>
          <w:szCs w:val="20"/>
        </w:rPr>
        <w:t>nto fondo contenziosi in atto 0,1 M (-14,5</w:t>
      </w:r>
      <w:r w:rsidRPr="00E03E57">
        <w:rPr>
          <w:rFonts w:eastAsia="Times New Roman"/>
          <w:color w:val="auto"/>
          <w:szCs w:val="20"/>
        </w:rPr>
        <w:t>)</w:t>
      </w:r>
      <w:r w:rsidR="00734C5C" w:rsidRPr="00E03E57">
        <w:rPr>
          <w:rFonts w:eastAsia="Times New Roman"/>
          <w:color w:val="auto"/>
          <w:szCs w:val="20"/>
        </w:rPr>
        <w:t>:</w:t>
      </w:r>
      <w:r w:rsidRPr="00E03E57">
        <w:rPr>
          <w:rFonts w:eastAsia="Times New Roman"/>
          <w:color w:val="auto"/>
          <w:szCs w:val="20"/>
        </w:rPr>
        <w:t xml:space="preserve"> </w:t>
      </w:r>
      <w:r w:rsidR="00734C5C" w:rsidRPr="00E03E57">
        <w:rPr>
          <w:rFonts w:eastAsia="Times New Roman"/>
          <w:color w:val="auto"/>
          <w:szCs w:val="20"/>
        </w:rPr>
        <w:t>il calo è determinato dal fatto che nel 2019 era compreso</w:t>
      </w:r>
      <w:r w:rsidRPr="00E03E57">
        <w:rPr>
          <w:rFonts w:eastAsia="Times New Roman"/>
          <w:color w:val="auto"/>
          <w:szCs w:val="20"/>
        </w:rPr>
        <w:t xml:space="preserve"> l’importo di</w:t>
      </w:r>
      <w:r w:rsidR="00F27B31" w:rsidRPr="00E03E57">
        <w:rPr>
          <w:rFonts w:eastAsia="Times New Roman"/>
          <w:color w:val="auto"/>
          <w:szCs w:val="20"/>
        </w:rPr>
        <w:t xml:space="preserve"> ulteriori</w:t>
      </w:r>
      <w:r w:rsidRPr="00E03E57">
        <w:rPr>
          <w:rFonts w:eastAsia="Times New Roman"/>
          <w:color w:val="auto"/>
          <w:szCs w:val="20"/>
        </w:rPr>
        <w:t xml:space="preserve"> 13</w:t>
      </w:r>
      <w:r w:rsidR="00F27B31" w:rsidRPr="00E03E57">
        <w:rPr>
          <w:rFonts w:eastAsia="Times New Roman"/>
          <w:color w:val="auto"/>
          <w:szCs w:val="20"/>
        </w:rPr>
        <w:t>,6</w:t>
      </w:r>
      <w:r w:rsidRPr="00E03E57">
        <w:rPr>
          <w:rFonts w:eastAsia="Times New Roman"/>
          <w:color w:val="auto"/>
          <w:szCs w:val="20"/>
        </w:rPr>
        <w:t xml:space="preserve"> milioni a copertura del rischio di soccombenza nei ricorsi presentati dall’associazione studentesca UDU</w:t>
      </w:r>
      <w:r w:rsidR="00734C5C" w:rsidRPr="00E03E57">
        <w:rPr>
          <w:rFonts w:eastAsia="Times New Roman"/>
          <w:color w:val="auto"/>
          <w:szCs w:val="20"/>
        </w:rPr>
        <w:t>: il contenzioso è risolto, pertanto l’accantonamento non è più necessario</w:t>
      </w:r>
      <w:r w:rsidRPr="00E03E57">
        <w:rPr>
          <w:rFonts w:eastAsia="Times New Roman"/>
          <w:color w:val="auto"/>
          <w:szCs w:val="20"/>
        </w:rPr>
        <w:t>.</w:t>
      </w:r>
      <w:r w:rsidR="00337E2E" w:rsidRPr="00E03E57">
        <w:rPr>
          <w:rFonts w:eastAsia="Times New Roman"/>
          <w:color w:val="auto"/>
          <w:szCs w:val="20"/>
        </w:rPr>
        <w:t xml:space="preserve"> </w:t>
      </w:r>
    </w:p>
    <w:p w:rsidR="0048122A" w:rsidRDefault="0048122A" w:rsidP="00C51244">
      <w:pPr>
        <w:rPr>
          <w:szCs w:val="20"/>
        </w:rPr>
      </w:pPr>
    </w:p>
    <w:p w:rsidR="009B6196" w:rsidRDefault="00AE6C0D" w:rsidP="009B6196">
      <w:r>
        <w:rPr>
          <w:b/>
        </w:rPr>
        <w:t>E</w:t>
      </w:r>
      <w:r w:rsidRPr="00C31C87">
        <w:rPr>
          <w:b/>
        </w:rPr>
        <w:t>) PROVENTI</w:t>
      </w:r>
      <w:r>
        <w:rPr>
          <w:b/>
        </w:rPr>
        <w:t xml:space="preserve"> E ONERI STRAORDINARI</w:t>
      </w:r>
      <w:r w:rsidR="009B6196">
        <w:t xml:space="preserve"> </w:t>
      </w:r>
      <w:r w:rsidR="00DF0962">
        <w:t xml:space="preserve">(pgg. 164-167) </w:t>
      </w:r>
      <w:r w:rsidR="009B6196">
        <w:t>= 34,6 M (+ 20,8).</w:t>
      </w:r>
    </w:p>
    <w:p w:rsidR="007D1F80" w:rsidRDefault="007D1F80" w:rsidP="009B6196"/>
    <w:p w:rsidR="00A5667D" w:rsidRPr="009B6196" w:rsidRDefault="009B6196" w:rsidP="009B6196">
      <w:r>
        <w:t>P</w:t>
      </w:r>
      <w:r w:rsidRPr="009B6196">
        <w:t>rincipalmente per effetto dell’incremento dei proventi straordinari determinati dal rilascio degli accantonamenti a fondi oneri o rischi in cui ha inciso in maniera significativa (26,6 milioni di euro) lo svincolo degli accantonamenti a suo tempo disposti per il contenzioso con l’associazione UDU a seguito del ritiro del ricorso da parte della stessa associazione</w:t>
      </w:r>
      <w:r>
        <w:t>.</w:t>
      </w:r>
    </w:p>
    <w:p w:rsidR="00AE6C0D" w:rsidRDefault="00AE6C0D" w:rsidP="00C51244">
      <w:pPr>
        <w:rPr>
          <w:b/>
        </w:rPr>
      </w:pPr>
    </w:p>
    <w:p w:rsidR="00AE6C0D" w:rsidRDefault="00AE6C0D" w:rsidP="00C51244">
      <w:pPr>
        <w:rPr>
          <w:b/>
          <w:szCs w:val="20"/>
        </w:rPr>
      </w:pPr>
    </w:p>
    <w:p w:rsidR="00A5667D" w:rsidRPr="006E3C2F" w:rsidRDefault="00A5667D" w:rsidP="00C51244">
      <w:pPr>
        <w:rPr>
          <w:szCs w:val="20"/>
        </w:rPr>
      </w:pPr>
      <w:r w:rsidRPr="006E3C2F">
        <w:rPr>
          <w:b/>
          <w:szCs w:val="20"/>
        </w:rPr>
        <w:t>DESTI</w:t>
      </w:r>
      <w:r w:rsidR="00B838AF" w:rsidRPr="006E3C2F">
        <w:rPr>
          <w:b/>
          <w:szCs w:val="20"/>
        </w:rPr>
        <w:t>NAZIO</w:t>
      </w:r>
      <w:r w:rsidR="006E3C2F" w:rsidRPr="006E3C2F">
        <w:rPr>
          <w:b/>
          <w:szCs w:val="20"/>
        </w:rPr>
        <w:t>NE DELL’UTILE NON VINCOLATO 2020</w:t>
      </w:r>
      <w:r w:rsidRPr="006E3C2F">
        <w:rPr>
          <w:b/>
          <w:szCs w:val="20"/>
        </w:rPr>
        <w:t xml:space="preserve">: PROPOSTA AL CdA </w:t>
      </w:r>
      <w:r w:rsidR="006E3C2F" w:rsidRPr="006E3C2F">
        <w:rPr>
          <w:szCs w:val="20"/>
        </w:rPr>
        <w:t>(pgg.168-170</w:t>
      </w:r>
      <w:r w:rsidR="00383246" w:rsidRPr="006E3C2F">
        <w:rPr>
          <w:szCs w:val="20"/>
        </w:rPr>
        <w:t>)</w:t>
      </w:r>
    </w:p>
    <w:p w:rsidR="00C248AF" w:rsidRDefault="00C248AF" w:rsidP="00C51244">
      <w:pPr>
        <w:rPr>
          <w:szCs w:val="20"/>
          <w:highlight w:val="yellow"/>
        </w:rPr>
      </w:pPr>
    </w:p>
    <w:p w:rsidR="00C248AF" w:rsidRDefault="00C248AF" w:rsidP="00C51244">
      <w:pPr>
        <w:rPr>
          <w:szCs w:val="20"/>
        </w:rPr>
      </w:pPr>
      <w:r w:rsidRPr="00C248AF">
        <w:rPr>
          <w:szCs w:val="20"/>
        </w:rPr>
        <w:t xml:space="preserve">Utile </w:t>
      </w:r>
      <w:r w:rsidR="00F549F1">
        <w:rPr>
          <w:szCs w:val="20"/>
        </w:rPr>
        <w:t xml:space="preserve">complessivo </w:t>
      </w:r>
      <w:r w:rsidRPr="00C248AF">
        <w:rPr>
          <w:szCs w:val="20"/>
        </w:rPr>
        <w:t>2020 = 71,8 M</w:t>
      </w:r>
    </w:p>
    <w:p w:rsidR="006C68C3" w:rsidRDefault="006C68C3" w:rsidP="00C51244">
      <w:pPr>
        <w:rPr>
          <w:szCs w:val="20"/>
        </w:rPr>
      </w:pPr>
      <w:r w:rsidRPr="006C68C3">
        <w:rPr>
          <w:szCs w:val="20"/>
        </w:rPr>
        <w:t>Utile non vincolato 2020</w:t>
      </w:r>
      <w:r>
        <w:rPr>
          <w:szCs w:val="20"/>
        </w:rPr>
        <w:t xml:space="preserve"> = 56,1 M</w:t>
      </w:r>
    </w:p>
    <w:p w:rsidR="006C68C3" w:rsidRPr="006C68C3" w:rsidRDefault="006C68C3" w:rsidP="006C68C3">
      <w:pPr>
        <w:rPr>
          <w:szCs w:val="20"/>
        </w:rPr>
      </w:pPr>
      <w:r>
        <w:rPr>
          <w:szCs w:val="20"/>
        </w:rPr>
        <w:t>Budget investimenti anno 2022 = 10</w:t>
      </w:r>
      <w:r w:rsidRPr="006C68C3">
        <w:rPr>
          <w:szCs w:val="20"/>
        </w:rPr>
        <w:t xml:space="preserve"> M</w:t>
      </w:r>
    </w:p>
    <w:p w:rsidR="006C68C3" w:rsidRPr="00E03E57" w:rsidRDefault="006C68C3" w:rsidP="006C68C3">
      <w:pPr>
        <w:rPr>
          <w:color w:val="auto"/>
          <w:szCs w:val="20"/>
        </w:rPr>
      </w:pPr>
      <w:r w:rsidRPr="00E03E57">
        <w:rPr>
          <w:color w:val="auto"/>
          <w:szCs w:val="20"/>
        </w:rPr>
        <w:t>Utile non vincolato 2020 al netto del budget 2022 = 46,2 M</w:t>
      </w:r>
    </w:p>
    <w:p w:rsidR="006C68C3" w:rsidRPr="00E03E57" w:rsidRDefault="006C68C3" w:rsidP="00C51244">
      <w:pPr>
        <w:rPr>
          <w:color w:val="auto"/>
          <w:szCs w:val="20"/>
        </w:rPr>
      </w:pPr>
    </w:p>
    <w:p w:rsidR="006C68C3" w:rsidRPr="00E03E57" w:rsidRDefault="006C68C3" w:rsidP="006C68C3">
      <w:pPr>
        <w:rPr>
          <w:color w:val="auto"/>
          <w:szCs w:val="20"/>
        </w:rPr>
      </w:pPr>
      <w:r w:rsidRPr="00E03E57">
        <w:rPr>
          <w:color w:val="auto"/>
          <w:szCs w:val="20"/>
        </w:rPr>
        <w:t>Proposta di utilizzo dell’utile: è importante ricordare che ad oggi gli arredi e le attrezzature per il Campus in area Mind sono solo parzialmente finanziate (42 milioni di euro, a fronte di un fabbisogno stimato in 142 milioni di euro) e che la relativa copertura dovrà necessariamente essere reperita nei prossimi esercizi.</w:t>
      </w:r>
    </w:p>
    <w:p w:rsidR="00C248AF" w:rsidRPr="006C68C3" w:rsidRDefault="006C68C3" w:rsidP="00C51244">
      <w:pPr>
        <w:rPr>
          <w:i/>
          <w:color w:val="C00000"/>
          <w:szCs w:val="20"/>
        </w:rPr>
      </w:pPr>
      <w:r w:rsidRPr="006C68C3">
        <w:rPr>
          <w:i/>
          <w:color w:val="C00000"/>
          <w:szCs w:val="20"/>
        </w:rPr>
        <w:t>Commento. E’ verosimile che</w:t>
      </w:r>
      <w:r w:rsidR="00881A77">
        <w:rPr>
          <w:i/>
          <w:color w:val="C00000"/>
          <w:szCs w:val="20"/>
        </w:rPr>
        <w:t xml:space="preserve"> anche</w:t>
      </w:r>
      <w:r w:rsidRPr="006C68C3">
        <w:rPr>
          <w:i/>
          <w:color w:val="C00000"/>
          <w:szCs w:val="20"/>
        </w:rPr>
        <w:t xml:space="preserve"> l’utile dei prossimi </w:t>
      </w:r>
      <w:r w:rsidR="00F77EB6">
        <w:rPr>
          <w:i/>
          <w:color w:val="C00000"/>
          <w:szCs w:val="20"/>
        </w:rPr>
        <w:t xml:space="preserve">anni </w:t>
      </w:r>
      <w:r w:rsidRPr="006C68C3">
        <w:rPr>
          <w:i/>
          <w:color w:val="C00000"/>
          <w:szCs w:val="20"/>
        </w:rPr>
        <w:t>sia destinato agli arredi e alle attrezzature per il Campus in area Mind. Il costo stimato è di 142 milioni. La precedente governance presieduta dal prof. Vago sottostimò incredibilmente i costi a soli 50 milioni di euro.</w:t>
      </w:r>
      <w:r w:rsidR="001E27DC">
        <w:rPr>
          <w:i/>
          <w:color w:val="C00000"/>
          <w:szCs w:val="20"/>
        </w:rPr>
        <w:t xml:space="preserve"> Una volta inaugurato il C</w:t>
      </w:r>
      <w:r w:rsidR="00706067">
        <w:rPr>
          <w:i/>
          <w:color w:val="C00000"/>
          <w:szCs w:val="20"/>
        </w:rPr>
        <w:t>ampus</w:t>
      </w:r>
      <w:r w:rsidR="001E27DC">
        <w:rPr>
          <w:i/>
          <w:color w:val="C00000"/>
          <w:szCs w:val="20"/>
        </w:rPr>
        <w:t xml:space="preserve"> Mind</w:t>
      </w:r>
      <w:r w:rsidR="00706067">
        <w:rPr>
          <w:i/>
          <w:color w:val="C00000"/>
          <w:szCs w:val="20"/>
        </w:rPr>
        <w:t>, sarà necessario traslocare celermente tutti i dipartimenti interessati per liberare le strutture di Città Studi in cui trasferire i dipartimenti attualmente collocati in altre strutture periferiche da dismettere e con le cui vendite finanziare proprio il mantenimento di Città Studi stessa. Ovviamente oltre a ciò sarà necessario beneficiare di risorse europee provenienti dal Recovery.</w:t>
      </w:r>
    </w:p>
    <w:p w:rsidR="00C248AF" w:rsidRPr="006C68C3" w:rsidRDefault="00C248AF" w:rsidP="00C51244">
      <w:pPr>
        <w:rPr>
          <w:color w:val="C00000"/>
          <w:szCs w:val="20"/>
        </w:rPr>
      </w:pPr>
    </w:p>
    <w:p w:rsidR="00C248AF" w:rsidRPr="006C68C3" w:rsidRDefault="00C248AF" w:rsidP="00C51244">
      <w:pPr>
        <w:rPr>
          <w:b/>
          <w:szCs w:val="20"/>
          <w:highlight w:val="yellow"/>
        </w:rPr>
      </w:pPr>
    </w:p>
    <w:p w:rsidR="00B838AF" w:rsidRDefault="00B838AF" w:rsidP="00B838AF">
      <w:pPr>
        <w:ind w:left="0" w:firstLine="0"/>
      </w:pPr>
    </w:p>
    <w:p w:rsidR="00611BD0" w:rsidRDefault="00611BD0" w:rsidP="00B838AF">
      <w:pPr>
        <w:ind w:left="0" w:firstLine="0"/>
      </w:pPr>
    </w:p>
    <w:p w:rsidR="00CA20EC" w:rsidRPr="00495499" w:rsidRDefault="00CA20EC" w:rsidP="00495499">
      <w:pPr>
        <w:rPr>
          <w:szCs w:val="20"/>
        </w:rPr>
      </w:pPr>
    </w:p>
    <w:sectPr w:rsidR="00CA20EC" w:rsidRPr="0049549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651BD"/>
    <w:multiLevelType w:val="hybridMultilevel"/>
    <w:tmpl w:val="F6DACA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E31974"/>
    <w:multiLevelType w:val="hybridMultilevel"/>
    <w:tmpl w:val="500AEC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4BC34F4"/>
    <w:multiLevelType w:val="hybridMultilevel"/>
    <w:tmpl w:val="F1B2C27C"/>
    <w:lvl w:ilvl="0" w:tplc="B5286916">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7D8612C"/>
    <w:multiLevelType w:val="hybridMultilevel"/>
    <w:tmpl w:val="35A0CC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A4742CF"/>
    <w:multiLevelType w:val="hybridMultilevel"/>
    <w:tmpl w:val="A224CE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A8D5120"/>
    <w:multiLevelType w:val="hybridMultilevel"/>
    <w:tmpl w:val="08DE70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B937C6B"/>
    <w:multiLevelType w:val="hybridMultilevel"/>
    <w:tmpl w:val="EFD0BB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0DD6958"/>
    <w:multiLevelType w:val="hybridMultilevel"/>
    <w:tmpl w:val="661CC0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4227792"/>
    <w:multiLevelType w:val="hybridMultilevel"/>
    <w:tmpl w:val="C82CDC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7B62565"/>
    <w:multiLevelType w:val="hybridMultilevel"/>
    <w:tmpl w:val="9DC878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DA423C0"/>
    <w:multiLevelType w:val="hybridMultilevel"/>
    <w:tmpl w:val="55CA9A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E686777"/>
    <w:multiLevelType w:val="hybridMultilevel"/>
    <w:tmpl w:val="B2063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0D20395"/>
    <w:multiLevelType w:val="hybridMultilevel"/>
    <w:tmpl w:val="55923F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19364BD"/>
    <w:multiLevelType w:val="hybridMultilevel"/>
    <w:tmpl w:val="DBCA60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38B6FE7"/>
    <w:multiLevelType w:val="hybridMultilevel"/>
    <w:tmpl w:val="6004D6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EAD0FC5"/>
    <w:multiLevelType w:val="hybridMultilevel"/>
    <w:tmpl w:val="3E8AA8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6DB59D1"/>
    <w:multiLevelType w:val="hybridMultilevel"/>
    <w:tmpl w:val="DDC21B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8DA3A82"/>
    <w:multiLevelType w:val="hybridMultilevel"/>
    <w:tmpl w:val="B77229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EF617CD"/>
    <w:multiLevelType w:val="hybridMultilevel"/>
    <w:tmpl w:val="93FC950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6E50BFF"/>
    <w:multiLevelType w:val="hybridMultilevel"/>
    <w:tmpl w:val="85A22F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75F4B09"/>
    <w:multiLevelType w:val="hybridMultilevel"/>
    <w:tmpl w:val="A688427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96D0A9B"/>
    <w:multiLevelType w:val="hybridMultilevel"/>
    <w:tmpl w:val="11D09C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FDD147D"/>
    <w:multiLevelType w:val="hybridMultilevel"/>
    <w:tmpl w:val="BA8861E8"/>
    <w:lvl w:ilvl="0" w:tplc="B5286916">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1"/>
  </w:num>
  <w:num w:numId="2">
    <w:abstractNumId w:val="17"/>
  </w:num>
  <w:num w:numId="3">
    <w:abstractNumId w:val="7"/>
  </w:num>
  <w:num w:numId="4">
    <w:abstractNumId w:val="0"/>
  </w:num>
  <w:num w:numId="5">
    <w:abstractNumId w:val="16"/>
  </w:num>
  <w:num w:numId="6">
    <w:abstractNumId w:val="1"/>
  </w:num>
  <w:num w:numId="7">
    <w:abstractNumId w:val="5"/>
  </w:num>
  <w:num w:numId="8">
    <w:abstractNumId w:val="14"/>
  </w:num>
  <w:num w:numId="9">
    <w:abstractNumId w:val="3"/>
  </w:num>
  <w:num w:numId="10">
    <w:abstractNumId w:val="11"/>
  </w:num>
  <w:num w:numId="11">
    <w:abstractNumId w:val="9"/>
  </w:num>
  <w:num w:numId="12">
    <w:abstractNumId w:val="12"/>
  </w:num>
  <w:num w:numId="13">
    <w:abstractNumId w:val="4"/>
  </w:num>
  <w:num w:numId="14">
    <w:abstractNumId w:val="10"/>
  </w:num>
  <w:num w:numId="15">
    <w:abstractNumId w:val="6"/>
  </w:num>
  <w:num w:numId="16">
    <w:abstractNumId w:val="19"/>
  </w:num>
  <w:num w:numId="17">
    <w:abstractNumId w:val="8"/>
  </w:num>
  <w:num w:numId="18">
    <w:abstractNumId w:val="15"/>
  </w:num>
  <w:num w:numId="19">
    <w:abstractNumId w:val="2"/>
  </w:num>
  <w:num w:numId="20">
    <w:abstractNumId w:val="22"/>
  </w:num>
  <w:num w:numId="21">
    <w:abstractNumId w:val="18"/>
  </w:num>
  <w:num w:numId="22">
    <w:abstractNumId w:val="20"/>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1F7"/>
    <w:rsid w:val="00003135"/>
    <w:rsid w:val="00011818"/>
    <w:rsid w:val="00014239"/>
    <w:rsid w:val="00036EFB"/>
    <w:rsid w:val="00037CF1"/>
    <w:rsid w:val="0004797D"/>
    <w:rsid w:val="000540B9"/>
    <w:rsid w:val="00067F7D"/>
    <w:rsid w:val="00080483"/>
    <w:rsid w:val="0008078C"/>
    <w:rsid w:val="00091DC5"/>
    <w:rsid w:val="00093C96"/>
    <w:rsid w:val="00094A49"/>
    <w:rsid w:val="00097749"/>
    <w:rsid w:val="000D79C6"/>
    <w:rsid w:val="000E4808"/>
    <w:rsid w:val="000F0306"/>
    <w:rsid w:val="00100A22"/>
    <w:rsid w:val="0010125C"/>
    <w:rsid w:val="001060F7"/>
    <w:rsid w:val="001061D1"/>
    <w:rsid w:val="00106842"/>
    <w:rsid w:val="00106EE6"/>
    <w:rsid w:val="0012466F"/>
    <w:rsid w:val="00134B49"/>
    <w:rsid w:val="001527EC"/>
    <w:rsid w:val="00161BA7"/>
    <w:rsid w:val="00164264"/>
    <w:rsid w:val="00173BD9"/>
    <w:rsid w:val="001A3C6E"/>
    <w:rsid w:val="001B45FB"/>
    <w:rsid w:val="001C0B57"/>
    <w:rsid w:val="001C6802"/>
    <w:rsid w:val="001D023E"/>
    <w:rsid w:val="001E27DC"/>
    <w:rsid w:val="001E31A7"/>
    <w:rsid w:val="001E55C7"/>
    <w:rsid w:val="001F67DB"/>
    <w:rsid w:val="0023518C"/>
    <w:rsid w:val="0023602B"/>
    <w:rsid w:val="00242481"/>
    <w:rsid w:val="00244579"/>
    <w:rsid w:val="002455A7"/>
    <w:rsid w:val="00246A9C"/>
    <w:rsid w:val="0025463D"/>
    <w:rsid w:val="002A2226"/>
    <w:rsid w:val="002A2C4A"/>
    <w:rsid w:val="002B2386"/>
    <w:rsid w:val="002D0FF2"/>
    <w:rsid w:val="002D1390"/>
    <w:rsid w:val="002E2E0D"/>
    <w:rsid w:val="002F6ED0"/>
    <w:rsid w:val="002F7CEC"/>
    <w:rsid w:val="00302129"/>
    <w:rsid w:val="00302C9B"/>
    <w:rsid w:val="003102F3"/>
    <w:rsid w:val="003232AD"/>
    <w:rsid w:val="00326E49"/>
    <w:rsid w:val="00327334"/>
    <w:rsid w:val="00337E2E"/>
    <w:rsid w:val="00373B8A"/>
    <w:rsid w:val="00383246"/>
    <w:rsid w:val="00394FA0"/>
    <w:rsid w:val="0039787A"/>
    <w:rsid w:val="003C348A"/>
    <w:rsid w:val="003E3B9B"/>
    <w:rsid w:val="00402027"/>
    <w:rsid w:val="00426A38"/>
    <w:rsid w:val="00436556"/>
    <w:rsid w:val="00440DB6"/>
    <w:rsid w:val="00453E19"/>
    <w:rsid w:val="00454745"/>
    <w:rsid w:val="004645E7"/>
    <w:rsid w:val="00467892"/>
    <w:rsid w:val="00472DAE"/>
    <w:rsid w:val="004742FB"/>
    <w:rsid w:val="0048122A"/>
    <w:rsid w:val="004816FB"/>
    <w:rsid w:val="00483376"/>
    <w:rsid w:val="00495499"/>
    <w:rsid w:val="00497256"/>
    <w:rsid w:val="004A5F69"/>
    <w:rsid w:val="004B4DC1"/>
    <w:rsid w:val="004C4196"/>
    <w:rsid w:val="004D08D1"/>
    <w:rsid w:val="004D3F93"/>
    <w:rsid w:val="004D60D4"/>
    <w:rsid w:val="004E1C83"/>
    <w:rsid w:val="004E3E39"/>
    <w:rsid w:val="004F2C44"/>
    <w:rsid w:val="00512AB2"/>
    <w:rsid w:val="00513CB1"/>
    <w:rsid w:val="00514BE6"/>
    <w:rsid w:val="00523489"/>
    <w:rsid w:val="00525FB4"/>
    <w:rsid w:val="00532DD8"/>
    <w:rsid w:val="00537C8C"/>
    <w:rsid w:val="0055042C"/>
    <w:rsid w:val="005507E6"/>
    <w:rsid w:val="00562975"/>
    <w:rsid w:val="00573BE6"/>
    <w:rsid w:val="005873DF"/>
    <w:rsid w:val="00593853"/>
    <w:rsid w:val="0059555B"/>
    <w:rsid w:val="005A6D96"/>
    <w:rsid w:val="005B37AC"/>
    <w:rsid w:val="005C6B49"/>
    <w:rsid w:val="005D2D05"/>
    <w:rsid w:val="005D4703"/>
    <w:rsid w:val="005D4CDE"/>
    <w:rsid w:val="005D58EE"/>
    <w:rsid w:val="005E3D3A"/>
    <w:rsid w:val="005E51C4"/>
    <w:rsid w:val="005F08EA"/>
    <w:rsid w:val="00601306"/>
    <w:rsid w:val="006036D1"/>
    <w:rsid w:val="00611BD0"/>
    <w:rsid w:val="00611D2F"/>
    <w:rsid w:val="00615694"/>
    <w:rsid w:val="006358C4"/>
    <w:rsid w:val="0065350B"/>
    <w:rsid w:val="006551FF"/>
    <w:rsid w:val="00655E3E"/>
    <w:rsid w:val="00670EA5"/>
    <w:rsid w:val="006754AE"/>
    <w:rsid w:val="006815DE"/>
    <w:rsid w:val="006A31EF"/>
    <w:rsid w:val="006B4426"/>
    <w:rsid w:val="006C635F"/>
    <w:rsid w:val="006C68C3"/>
    <w:rsid w:val="006D2EDA"/>
    <w:rsid w:val="006D488F"/>
    <w:rsid w:val="006E3C2F"/>
    <w:rsid w:val="006E4B59"/>
    <w:rsid w:val="006F0864"/>
    <w:rsid w:val="006F3BC7"/>
    <w:rsid w:val="006F5B24"/>
    <w:rsid w:val="006F5BE9"/>
    <w:rsid w:val="006F5E64"/>
    <w:rsid w:val="0070542F"/>
    <w:rsid w:val="00706067"/>
    <w:rsid w:val="00721D4B"/>
    <w:rsid w:val="00723714"/>
    <w:rsid w:val="00734C5C"/>
    <w:rsid w:val="00744FD7"/>
    <w:rsid w:val="00747680"/>
    <w:rsid w:val="0075663C"/>
    <w:rsid w:val="007810C0"/>
    <w:rsid w:val="0078400B"/>
    <w:rsid w:val="007A3675"/>
    <w:rsid w:val="007A49B1"/>
    <w:rsid w:val="007B0608"/>
    <w:rsid w:val="007C1453"/>
    <w:rsid w:val="007C3692"/>
    <w:rsid w:val="007D0696"/>
    <w:rsid w:val="007D1F80"/>
    <w:rsid w:val="007E5C93"/>
    <w:rsid w:val="007F58DA"/>
    <w:rsid w:val="007F6AD7"/>
    <w:rsid w:val="0080725E"/>
    <w:rsid w:val="008204CC"/>
    <w:rsid w:val="008249BA"/>
    <w:rsid w:val="00844F91"/>
    <w:rsid w:val="00854F7A"/>
    <w:rsid w:val="008566C3"/>
    <w:rsid w:val="008711D2"/>
    <w:rsid w:val="00881A77"/>
    <w:rsid w:val="00885996"/>
    <w:rsid w:val="008B36D4"/>
    <w:rsid w:val="008C363A"/>
    <w:rsid w:val="008D1735"/>
    <w:rsid w:val="008D5119"/>
    <w:rsid w:val="008E2887"/>
    <w:rsid w:val="008E3CD8"/>
    <w:rsid w:val="008F4B59"/>
    <w:rsid w:val="00924111"/>
    <w:rsid w:val="009271FA"/>
    <w:rsid w:val="00937020"/>
    <w:rsid w:val="00951862"/>
    <w:rsid w:val="00956346"/>
    <w:rsid w:val="00956877"/>
    <w:rsid w:val="009649C7"/>
    <w:rsid w:val="0097052D"/>
    <w:rsid w:val="0098043F"/>
    <w:rsid w:val="009876EA"/>
    <w:rsid w:val="009920C1"/>
    <w:rsid w:val="009A4B18"/>
    <w:rsid w:val="009B6196"/>
    <w:rsid w:val="009C5728"/>
    <w:rsid w:val="009D6C06"/>
    <w:rsid w:val="009E35E8"/>
    <w:rsid w:val="009E4009"/>
    <w:rsid w:val="009F1806"/>
    <w:rsid w:val="009F395D"/>
    <w:rsid w:val="009F4EE1"/>
    <w:rsid w:val="00A271F5"/>
    <w:rsid w:val="00A330C1"/>
    <w:rsid w:val="00A37246"/>
    <w:rsid w:val="00A37709"/>
    <w:rsid w:val="00A378F3"/>
    <w:rsid w:val="00A43E7F"/>
    <w:rsid w:val="00A4586A"/>
    <w:rsid w:val="00A5667D"/>
    <w:rsid w:val="00A77372"/>
    <w:rsid w:val="00A951DA"/>
    <w:rsid w:val="00AA3236"/>
    <w:rsid w:val="00AB61DC"/>
    <w:rsid w:val="00AC600D"/>
    <w:rsid w:val="00AC755C"/>
    <w:rsid w:val="00AD16DC"/>
    <w:rsid w:val="00AD4C7A"/>
    <w:rsid w:val="00AE174B"/>
    <w:rsid w:val="00AE6C0D"/>
    <w:rsid w:val="00AF0C51"/>
    <w:rsid w:val="00B230FD"/>
    <w:rsid w:val="00B3596C"/>
    <w:rsid w:val="00B63BF7"/>
    <w:rsid w:val="00B838AF"/>
    <w:rsid w:val="00B921DC"/>
    <w:rsid w:val="00B92C47"/>
    <w:rsid w:val="00B949A6"/>
    <w:rsid w:val="00BA3CAE"/>
    <w:rsid w:val="00BA652D"/>
    <w:rsid w:val="00BA6604"/>
    <w:rsid w:val="00BC1DD2"/>
    <w:rsid w:val="00BD2E50"/>
    <w:rsid w:val="00BE5FB1"/>
    <w:rsid w:val="00C02493"/>
    <w:rsid w:val="00C13707"/>
    <w:rsid w:val="00C248AF"/>
    <w:rsid w:val="00C34711"/>
    <w:rsid w:val="00C3730C"/>
    <w:rsid w:val="00C42FAE"/>
    <w:rsid w:val="00C4312D"/>
    <w:rsid w:val="00C51244"/>
    <w:rsid w:val="00C62548"/>
    <w:rsid w:val="00C85618"/>
    <w:rsid w:val="00C96598"/>
    <w:rsid w:val="00CA20EC"/>
    <w:rsid w:val="00CB473D"/>
    <w:rsid w:val="00CC4D54"/>
    <w:rsid w:val="00CF14DB"/>
    <w:rsid w:val="00CF43C2"/>
    <w:rsid w:val="00D033F7"/>
    <w:rsid w:val="00D03740"/>
    <w:rsid w:val="00D1306F"/>
    <w:rsid w:val="00D320E7"/>
    <w:rsid w:val="00D43A92"/>
    <w:rsid w:val="00D464FC"/>
    <w:rsid w:val="00D60062"/>
    <w:rsid w:val="00D91C43"/>
    <w:rsid w:val="00DA41AF"/>
    <w:rsid w:val="00DA79BF"/>
    <w:rsid w:val="00DB1D60"/>
    <w:rsid w:val="00DC1ABF"/>
    <w:rsid w:val="00DC3058"/>
    <w:rsid w:val="00DC7F74"/>
    <w:rsid w:val="00DD4821"/>
    <w:rsid w:val="00DD7916"/>
    <w:rsid w:val="00DF0962"/>
    <w:rsid w:val="00E03E57"/>
    <w:rsid w:val="00E11587"/>
    <w:rsid w:val="00E355FD"/>
    <w:rsid w:val="00E378F0"/>
    <w:rsid w:val="00E41928"/>
    <w:rsid w:val="00E43D91"/>
    <w:rsid w:val="00E5164B"/>
    <w:rsid w:val="00E5299A"/>
    <w:rsid w:val="00E7170E"/>
    <w:rsid w:val="00EA2D5F"/>
    <w:rsid w:val="00EB5859"/>
    <w:rsid w:val="00ED31C6"/>
    <w:rsid w:val="00EF0572"/>
    <w:rsid w:val="00EF7A86"/>
    <w:rsid w:val="00F053F4"/>
    <w:rsid w:val="00F12774"/>
    <w:rsid w:val="00F21A4E"/>
    <w:rsid w:val="00F27B31"/>
    <w:rsid w:val="00F35EEA"/>
    <w:rsid w:val="00F40789"/>
    <w:rsid w:val="00F43677"/>
    <w:rsid w:val="00F50DF9"/>
    <w:rsid w:val="00F549F1"/>
    <w:rsid w:val="00F61572"/>
    <w:rsid w:val="00F77EB6"/>
    <w:rsid w:val="00F801F7"/>
    <w:rsid w:val="00F95FCF"/>
    <w:rsid w:val="00F96EAC"/>
    <w:rsid w:val="00FB7727"/>
    <w:rsid w:val="00FB7884"/>
    <w:rsid w:val="00FD1AE4"/>
    <w:rsid w:val="00FD2172"/>
    <w:rsid w:val="00FE0720"/>
    <w:rsid w:val="00FF0D95"/>
    <w:rsid w:val="00FF7781"/>
    <w:rsid w:val="00FF79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49DEEF-1C24-4711-B747-575CB34D6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A2226"/>
    <w:pPr>
      <w:spacing w:after="5" w:line="249" w:lineRule="auto"/>
      <w:ind w:left="10" w:hanging="10"/>
    </w:pPr>
    <w:rPr>
      <w:rFonts w:ascii="Arial" w:eastAsia="Arial" w:hAnsi="Arial" w:cs="Arial"/>
      <w:color w:val="000000"/>
      <w:sz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249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249BA"/>
    <w:rPr>
      <w:rFonts w:ascii="Tahoma" w:eastAsia="Arial" w:hAnsi="Tahoma" w:cs="Tahoma"/>
      <w:color w:val="000000"/>
      <w:sz w:val="16"/>
      <w:szCs w:val="16"/>
      <w:lang w:eastAsia="it-IT"/>
    </w:rPr>
  </w:style>
  <w:style w:type="paragraph" w:styleId="Corpotesto">
    <w:name w:val="Body Text"/>
    <w:basedOn w:val="Normale"/>
    <w:link w:val="CorpotestoCarattere"/>
    <w:semiHidden/>
    <w:unhideWhenUsed/>
    <w:rsid w:val="008249BA"/>
    <w:pPr>
      <w:spacing w:after="0" w:line="360" w:lineRule="auto"/>
      <w:ind w:left="0" w:firstLine="0"/>
      <w:jc w:val="both"/>
    </w:pPr>
    <w:rPr>
      <w:rFonts w:ascii="Century Gothic" w:eastAsia="Times New Roman" w:hAnsi="Century Gothic" w:cs="Times New Roman"/>
      <w:color w:val="auto"/>
      <w:sz w:val="22"/>
      <w:szCs w:val="20"/>
    </w:rPr>
  </w:style>
  <w:style w:type="character" w:customStyle="1" w:styleId="CorpotestoCarattere">
    <w:name w:val="Corpo testo Carattere"/>
    <w:basedOn w:val="Carpredefinitoparagrafo"/>
    <w:link w:val="Corpotesto"/>
    <w:semiHidden/>
    <w:rsid w:val="008249BA"/>
    <w:rPr>
      <w:rFonts w:ascii="Century Gothic" w:eastAsia="Times New Roman" w:hAnsi="Century Gothic" w:cs="Times New Roman"/>
      <w:szCs w:val="20"/>
      <w:lang w:eastAsia="it-IT"/>
    </w:rPr>
  </w:style>
  <w:style w:type="paragraph" w:styleId="Nessunaspaziatura">
    <w:name w:val="No Spacing"/>
    <w:uiPriority w:val="1"/>
    <w:qFormat/>
    <w:rsid w:val="009E4009"/>
    <w:pPr>
      <w:spacing w:after="0" w:line="240" w:lineRule="auto"/>
      <w:ind w:left="10" w:hanging="10"/>
    </w:pPr>
    <w:rPr>
      <w:rFonts w:ascii="Arial" w:eastAsia="Arial" w:hAnsi="Arial" w:cs="Arial"/>
      <w:color w:val="000000"/>
      <w:sz w:val="20"/>
      <w:lang w:eastAsia="it-IT"/>
    </w:rPr>
  </w:style>
  <w:style w:type="paragraph" w:styleId="Paragrafoelenco">
    <w:name w:val="List Paragraph"/>
    <w:basedOn w:val="Normale"/>
    <w:uiPriority w:val="34"/>
    <w:qFormat/>
    <w:rsid w:val="005873DF"/>
    <w:pPr>
      <w:ind w:left="720"/>
      <w:contextualSpacing/>
    </w:pPr>
  </w:style>
  <w:style w:type="paragraph" w:customStyle="1" w:styleId="paragraph">
    <w:name w:val="paragraph"/>
    <w:basedOn w:val="Normale"/>
    <w:rsid w:val="006C635F"/>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normaltextrun">
    <w:name w:val="normaltextrun"/>
    <w:basedOn w:val="Carpredefinitoparagrafo"/>
    <w:rsid w:val="006C635F"/>
  </w:style>
  <w:style w:type="character" w:customStyle="1" w:styleId="spellingerror">
    <w:name w:val="spellingerror"/>
    <w:basedOn w:val="Carpredefinitoparagrafo"/>
    <w:rsid w:val="006C635F"/>
  </w:style>
  <w:style w:type="character" w:customStyle="1" w:styleId="eop">
    <w:name w:val="eop"/>
    <w:basedOn w:val="Carpredefinitoparagrafo"/>
    <w:rsid w:val="006C6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82668">
      <w:bodyDiv w:val="1"/>
      <w:marLeft w:val="0"/>
      <w:marRight w:val="0"/>
      <w:marTop w:val="0"/>
      <w:marBottom w:val="0"/>
      <w:divBdr>
        <w:top w:val="none" w:sz="0" w:space="0" w:color="auto"/>
        <w:left w:val="none" w:sz="0" w:space="0" w:color="auto"/>
        <w:bottom w:val="none" w:sz="0" w:space="0" w:color="auto"/>
        <w:right w:val="none" w:sz="0" w:space="0" w:color="auto"/>
      </w:divBdr>
    </w:div>
    <w:div w:id="248198098">
      <w:bodyDiv w:val="1"/>
      <w:marLeft w:val="0"/>
      <w:marRight w:val="0"/>
      <w:marTop w:val="0"/>
      <w:marBottom w:val="0"/>
      <w:divBdr>
        <w:top w:val="none" w:sz="0" w:space="0" w:color="auto"/>
        <w:left w:val="none" w:sz="0" w:space="0" w:color="auto"/>
        <w:bottom w:val="none" w:sz="0" w:space="0" w:color="auto"/>
        <w:right w:val="none" w:sz="0" w:space="0" w:color="auto"/>
      </w:divBdr>
    </w:div>
    <w:div w:id="263729214">
      <w:bodyDiv w:val="1"/>
      <w:marLeft w:val="0"/>
      <w:marRight w:val="0"/>
      <w:marTop w:val="0"/>
      <w:marBottom w:val="0"/>
      <w:divBdr>
        <w:top w:val="none" w:sz="0" w:space="0" w:color="auto"/>
        <w:left w:val="none" w:sz="0" w:space="0" w:color="auto"/>
        <w:bottom w:val="none" w:sz="0" w:space="0" w:color="auto"/>
        <w:right w:val="none" w:sz="0" w:space="0" w:color="auto"/>
      </w:divBdr>
    </w:div>
    <w:div w:id="282805414">
      <w:bodyDiv w:val="1"/>
      <w:marLeft w:val="0"/>
      <w:marRight w:val="0"/>
      <w:marTop w:val="0"/>
      <w:marBottom w:val="0"/>
      <w:divBdr>
        <w:top w:val="none" w:sz="0" w:space="0" w:color="auto"/>
        <w:left w:val="none" w:sz="0" w:space="0" w:color="auto"/>
        <w:bottom w:val="none" w:sz="0" w:space="0" w:color="auto"/>
        <w:right w:val="none" w:sz="0" w:space="0" w:color="auto"/>
      </w:divBdr>
    </w:div>
    <w:div w:id="293173705">
      <w:bodyDiv w:val="1"/>
      <w:marLeft w:val="0"/>
      <w:marRight w:val="0"/>
      <w:marTop w:val="0"/>
      <w:marBottom w:val="0"/>
      <w:divBdr>
        <w:top w:val="none" w:sz="0" w:space="0" w:color="auto"/>
        <w:left w:val="none" w:sz="0" w:space="0" w:color="auto"/>
        <w:bottom w:val="none" w:sz="0" w:space="0" w:color="auto"/>
        <w:right w:val="none" w:sz="0" w:space="0" w:color="auto"/>
      </w:divBdr>
    </w:div>
    <w:div w:id="332294839">
      <w:bodyDiv w:val="1"/>
      <w:marLeft w:val="0"/>
      <w:marRight w:val="0"/>
      <w:marTop w:val="0"/>
      <w:marBottom w:val="0"/>
      <w:divBdr>
        <w:top w:val="none" w:sz="0" w:space="0" w:color="auto"/>
        <w:left w:val="none" w:sz="0" w:space="0" w:color="auto"/>
        <w:bottom w:val="none" w:sz="0" w:space="0" w:color="auto"/>
        <w:right w:val="none" w:sz="0" w:space="0" w:color="auto"/>
      </w:divBdr>
    </w:div>
    <w:div w:id="349575775">
      <w:bodyDiv w:val="1"/>
      <w:marLeft w:val="0"/>
      <w:marRight w:val="0"/>
      <w:marTop w:val="0"/>
      <w:marBottom w:val="0"/>
      <w:divBdr>
        <w:top w:val="none" w:sz="0" w:space="0" w:color="auto"/>
        <w:left w:val="none" w:sz="0" w:space="0" w:color="auto"/>
        <w:bottom w:val="none" w:sz="0" w:space="0" w:color="auto"/>
        <w:right w:val="none" w:sz="0" w:space="0" w:color="auto"/>
      </w:divBdr>
    </w:div>
    <w:div w:id="424962165">
      <w:bodyDiv w:val="1"/>
      <w:marLeft w:val="0"/>
      <w:marRight w:val="0"/>
      <w:marTop w:val="0"/>
      <w:marBottom w:val="0"/>
      <w:divBdr>
        <w:top w:val="none" w:sz="0" w:space="0" w:color="auto"/>
        <w:left w:val="none" w:sz="0" w:space="0" w:color="auto"/>
        <w:bottom w:val="none" w:sz="0" w:space="0" w:color="auto"/>
        <w:right w:val="none" w:sz="0" w:space="0" w:color="auto"/>
      </w:divBdr>
    </w:div>
    <w:div w:id="466053227">
      <w:bodyDiv w:val="1"/>
      <w:marLeft w:val="0"/>
      <w:marRight w:val="0"/>
      <w:marTop w:val="0"/>
      <w:marBottom w:val="0"/>
      <w:divBdr>
        <w:top w:val="none" w:sz="0" w:space="0" w:color="auto"/>
        <w:left w:val="none" w:sz="0" w:space="0" w:color="auto"/>
        <w:bottom w:val="none" w:sz="0" w:space="0" w:color="auto"/>
        <w:right w:val="none" w:sz="0" w:space="0" w:color="auto"/>
      </w:divBdr>
      <w:divsChild>
        <w:div w:id="755132254">
          <w:blockQuote w:val="1"/>
          <w:marLeft w:val="0"/>
          <w:marRight w:val="720"/>
          <w:marTop w:val="100"/>
          <w:marBottom w:val="100"/>
          <w:divBdr>
            <w:top w:val="none" w:sz="0" w:space="0" w:color="auto"/>
            <w:left w:val="single" w:sz="6" w:space="10" w:color="0000FF"/>
            <w:bottom w:val="none" w:sz="0" w:space="0" w:color="auto"/>
            <w:right w:val="none" w:sz="0" w:space="0" w:color="auto"/>
          </w:divBdr>
          <w:divsChild>
            <w:div w:id="2115321164">
              <w:marLeft w:val="0"/>
              <w:marRight w:val="0"/>
              <w:marTop w:val="0"/>
              <w:marBottom w:val="0"/>
              <w:divBdr>
                <w:top w:val="none" w:sz="0" w:space="0" w:color="auto"/>
                <w:left w:val="none" w:sz="0" w:space="0" w:color="auto"/>
                <w:bottom w:val="none" w:sz="0" w:space="0" w:color="auto"/>
                <w:right w:val="none" w:sz="0" w:space="0" w:color="auto"/>
              </w:divBdr>
              <w:divsChild>
                <w:div w:id="158889962">
                  <w:marLeft w:val="0"/>
                  <w:marRight w:val="0"/>
                  <w:marTop w:val="0"/>
                  <w:marBottom w:val="0"/>
                  <w:divBdr>
                    <w:top w:val="none" w:sz="0" w:space="0" w:color="auto"/>
                    <w:left w:val="none" w:sz="0" w:space="0" w:color="auto"/>
                    <w:bottom w:val="none" w:sz="0" w:space="0" w:color="auto"/>
                    <w:right w:val="none" w:sz="0" w:space="0" w:color="auto"/>
                  </w:divBdr>
                  <w:divsChild>
                    <w:div w:id="1656370030">
                      <w:marLeft w:val="0"/>
                      <w:marRight w:val="0"/>
                      <w:marTop w:val="0"/>
                      <w:marBottom w:val="0"/>
                      <w:divBdr>
                        <w:top w:val="none" w:sz="0" w:space="0" w:color="auto"/>
                        <w:left w:val="none" w:sz="0" w:space="0" w:color="auto"/>
                        <w:bottom w:val="none" w:sz="0" w:space="0" w:color="auto"/>
                        <w:right w:val="none" w:sz="0" w:space="0" w:color="auto"/>
                      </w:divBdr>
                      <w:divsChild>
                        <w:div w:id="459493067">
                          <w:marLeft w:val="0"/>
                          <w:marRight w:val="0"/>
                          <w:marTop w:val="0"/>
                          <w:marBottom w:val="0"/>
                          <w:divBdr>
                            <w:top w:val="none" w:sz="0" w:space="0" w:color="auto"/>
                            <w:left w:val="none" w:sz="0" w:space="0" w:color="auto"/>
                            <w:bottom w:val="none" w:sz="0" w:space="0" w:color="auto"/>
                            <w:right w:val="none" w:sz="0" w:space="0" w:color="auto"/>
                          </w:divBdr>
                        </w:div>
                        <w:div w:id="1690835478">
                          <w:marLeft w:val="0"/>
                          <w:marRight w:val="0"/>
                          <w:marTop w:val="0"/>
                          <w:marBottom w:val="0"/>
                          <w:divBdr>
                            <w:top w:val="none" w:sz="0" w:space="0" w:color="auto"/>
                            <w:left w:val="none" w:sz="0" w:space="0" w:color="auto"/>
                            <w:bottom w:val="none" w:sz="0" w:space="0" w:color="auto"/>
                            <w:right w:val="none" w:sz="0" w:space="0" w:color="auto"/>
                          </w:divBdr>
                        </w:div>
                        <w:div w:id="1195777292">
                          <w:marLeft w:val="0"/>
                          <w:marRight w:val="0"/>
                          <w:marTop w:val="0"/>
                          <w:marBottom w:val="0"/>
                          <w:divBdr>
                            <w:top w:val="none" w:sz="0" w:space="0" w:color="auto"/>
                            <w:left w:val="none" w:sz="0" w:space="0" w:color="auto"/>
                            <w:bottom w:val="none" w:sz="0" w:space="0" w:color="auto"/>
                            <w:right w:val="none" w:sz="0" w:space="0" w:color="auto"/>
                          </w:divBdr>
                        </w:div>
                        <w:div w:id="1532306197">
                          <w:marLeft w:val="0"/>
                          <w:marRight w:val="0"/>
                          <w:marTop w:val="0"/>
                          <w:marBottom w:val="0"/>
                          <w:divBdr>
                            <w:top w:val="none" w:sz="0" w:space="0" w:color="auto"/>
                            <w:left w:val="none" w:sz="0" w:space="0" w:color="auto"/>
                            <w:bottom w:val="none" w:sz="0" w:space="0" w:color="auto"/>
                            <w:right w:val="none" w:sz="0" w:space="0" w:color="auto"/>
                          </w:divBdr>
                        </w:div>
                        <w:div w:id="2009289292">
                          <w:marLeft w:val="0"/>
                          <w:marRight w:val="0"/>
                          <w:marTop w:val="0"/>
                          <w:marBottom w:val="0"/>
                          <w:divBdr>
                            <w:top w:val="none" w:sz="0" w:space="0" w:color="auto"/>
                            <w:left w:val="none" w:sz="0" w:space="0" w:color="auto"/>
                            <w:bottom w:val="none" w:sz="0" w:space="0" w:color="auto"/>
                            <w:right w:val="none" w:sz="0" w:space="0" w:color="auto"/>
                          </w:divBdr>
                        </w:div>
                        <w:div w:id="1031954301">
                          <w:marLeft w:val="0"/>
                          <w:marRight w:val="0"/>
                          <w:marTop w:val="0"/>
                          <w:marBottom w:val="0"/>
                          <w:divBdr>
                            <w:top w:val="none" w:sz="0" w:space="0" w:color="auto"/>
                            <w:left w:val="none" w:sz="0" w:space="0" w:color="auto"/>
                            <w:bottom w:val="none" w:sz="0" w:space="0" w:color="auto"/>
                            <w:right w:val="none" w:sz="0" w:space="0" w:color="auto"/>
                          </w:divBdr>
                        </w:div>
                        <w:div w:id="142383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3425482">
      <w:bodyDiv w:val="1"/>
      <w:marLeft w:val="0"/>
      <w:marRight w:val="0"/>
      <w:marTop w:val="0"/>
      <w:marBottom w:val="0"/>
      <w:divBdr>
        <w:top w:val="none" w:sz="0" w:space="0" w:color="auto"/>
        <w:left w:val="none" w:sz="0" w:space="0" w:color="auto"/>
        <w:bottom w:val="none" w:sz="0" w:space="0" w:color="auto"/>
        <w:right w:val="none" w:sz="0" w:space="0" w:color="auto"/>
      </w:divBdr>
    </w:div>
    <w:div w:id="622350490">
      <w:bodyDiv w:val="1"/>
      <w:marLeft w:val="0"/>
      <w:marRight w:val="0"/>
      <w:marTop w:val="0"/>
      <w:marBottom w:val="0"/>
      <w:divBdr>
        <w:top w:val="none" w:sz="0" w:space="0" w:color="auto"/>
        <w:left w:val="none" w:sz="0" w:space="0" w:color="auto"/>
        <w:bottom w:val="none" w:sz="0" w:space="0" w:color="auto"/>
        <w:right w:val="none" w:sz="0" w:space="0" w:color="auto"/>
      </w:divBdr>
    </w:div>
    <w:div w:id="1058212733">
      <w:bodyDiv w:val="1"/>
      <w:marLeft w:val="0"/>
      <w:marRight w:val="0"/>
      <w:marTop w:val="0"/>
      <w:marBottom w:val="0"/>
      <w:divBdr>
        <w:top w:val="none" w:sz="0" w:space="0" w:color="auto"/>
        <w:left w:val="none" w:sz="0" w:space="0" w:color="auto"/>
        <w:bottom w:val="none" w:sz="0" w:space="0" w:color="auto"/>
        <w:right w:val="none" w:sz="0" w:space="0" w:color="auto"/>
      </w:divBdr>
    </w:div>
    <w:div w:id="1113868478">
      <w:bodyDiv w:val="1"/>
      <w:marLeft w:val="0"/>
      <w:marRight w:val="0"/>
      <w:marTop w:val="0"/>
      <w:marBottom w:val="0"/>
      <w:divBdr>
        <w:top w:val="none" w:sz="0" w:space="0" w:color="auto"/>
        <w:left w:val="none" w:sz="0" w:space="0" w:color="auto"/>
        <w:bottom w:val="none" w:sz="0" w:space="0" w:color="auto"/>
        <w:right w:val="none" w:sz="0" w:space="0" w:color="auto"/>
      </w:divBdr>
    </w:div>
    <w:div w:id="1120882106">
      <w:bodyDiv w:val="1"/>
      <w:marLeft w:val="0"/>
      <w:marRight w:val="0"/>
      <w:marTop w:val="0"/>
      <w:marBottom w:val="0"/>
      <w:divBdr>
        <w:top w:val="none" w:sz="0" w:space="0" w:color="auto"/>
        <w:left w:val="none" w:sz="0" w:space="0" w:color="auto"/>
        <w:bottom w:val="none" w:sz="0" w:space="0" w:color="auto"/>
        <w:right w:val="none" w:sz="0" w:space="0" w:color="auto"/>
      </w:divBdr>
      <w:divsChild>
        <w:div w:id="651523852">
          <w:marLeft w:val="0"/>
          <w:marRight w:val="0"/>
          <w:marTop w:val="0"/>
          <w:marBottom w:val="0"/>
          <w:divBdr>
            <w:top w:val="none" w:sz="0" w:space="0" w:color="auto"/>
            <w:left w:val="none" w:sz="0" w:space="0" w:color="auto"/>
            <w:bottom w:val="none" w:sz="0" w:space="0" w:color="auto"/>
            <w:right w:val="none" w:sz="0" w:space="0" w:color="auto"/>
          </w:divBdr>
        </w:div>
        <w:div w:id="1119107622">
          <w:marLeft w:val="0"/>
          <w:marRight w:val="0"/>
          <w:marTop w:val="0"/>
          <w:marBottom w:val="0"/>
          <w:divBdr>
            <w:top w:val="none" w:sz="0" w:space="0" w:color="auto"/>
            <w:left w:val="none" w:sz="0" w:space="0" w:color="auto"/>
            <w:bottom w:val="none" w:sz="0" w:space="0" w:color="auto"/>
            <w:right w:val="none" w:sz="0" w:space="0" w:color="auto"/>
          </w:divBdr>
        </w:div>
        <w:div w:id="1731733199">
          <w:marLeft w:val="0"/>
          <w:marRight w:val="0"/>
          <w:marTop w:val="0"/>
          <w:marBottom w:val="0"/>
          <w:divBdr>
            <w:top w:val="none" w:sz="0" w:space="0" w:color="auto"/>
            <w:left w:val="none" w:sz="0" w:space="0" w:color="auto"/>
            <w:bottom w:val="none" w:sz="0" w:space="0" w:color="auto"/>
            <w:right w:val="none" w:sz="0" w:space="0" w:color="auto"/>
          </w:divBdr>
        </w:div>
        <w:div w:id="1633288899">
          <w:marLeft w:val="0"/>
          <w:marRight w:val="0"/>
          <w:marTop w:val="0"/>
          <w:marBottom w:val="0"/>
          <w:divBdr>
            <w:top w:val="none" w:sz="0" w:space="0" w:color="auto"/>
            <w:left w:val="none" w:sz="0" w:space="0" w:color="auto"/>
            <w:bottom w:val="none" w:sz="0" w:space="0" w:color="auto"/>
            <w:right w:val="none" w:sz="0" w:space="0" w:color="auto"/>
          </w:divBdr>
        </w:div>
        <w:div w:id="10425497">
          <w:marLeft w:val="0"/>
          <w:marRight w:val="0"/>
          <w:marTop w:val="0"/>
          <w:marBottom w:val="0"/>
          <w:divBdr>
            <w:top w:val="none" w:sz="0" w:space="0" w:color="auto"/>
            <w:left w:val="none" w:sz="0" w:space="0" w:color="auto"/>
            <w:bottom w:val="none" w:sz="0" w:space="0" w:color="auto"/>
            <w:right w:val="none" w:sz="0" w:space="0" w:color="auto"/>
          </w:divBdr>
        </w:div>
      </w:divsChild>
    </w:div>
    <w:div w:id="1153373606">
      <w:bodyDiv w:val="1"/>
      <w:marLeft w:val="0"/>
      <w:marRight w:val="0"/>
      <w:marTop w:val="0"/>
      <w:marBottom w:val="0"/>
      <w:divBdr>
        <w:top w:val="none" w:sz="0" w:space="0" w:color="auto"/>
        <w:left w:val="none" w:sz="0" w:space="0" w:color="auto"/>
        <w:bottom w:val="none" w:sz="0" w:space="0" w:color="auto"/>
        <w:right w:val="none" w:sz="0" w:space="0" w:color="auto"/>
      </w:divBdr>
    </w:div>
    <w:div w:id="1679387048">
      <w:bodyDiv w:val="1"/>
      <w:marLeft w:val="0"/>
      <w:marRight w:val="0"/>
      <w:marTop w:val="0"/>
      <w:marBottom w:val="0"/>
      <w:divBdr>
        <w:top w:val="none" w:sz="0" w:space="0" w:color="auto"/>
        <w:left w:val="none" w:sz="0" w:space="0" w:color="auto"/>
        <w:bottom w:val="none" w:sz="0" w:space="0" w:color="auto"/>
        <w:right w:val="none" w:sz="0" w:space="0" w:color="auto"/>
      </w:divBdr>
    </w:div>
    <w:div w:id="2001619083">
      <w:bodyDiv w:val="1"/>
      <w:marLeft w:val="0"/>
      <w:marRight w:val="0"/>
      <w:marTop w:val="0"/>
      <w:marBottom w:val="0"/>
      <w:divBdr>
        <w:top w:val="none" w:sz="0" w:space="0" w:color="auto"/>
        <w:left w:val="none" w:sz="0" w:space="0" w:color="auto"/>
        <w:bottom w:val="none" w:sz="0" w:space="0" w:color="auto"/>
        <w:right w:val="none" w:sz="0" w:space="0" w:color="auto"/>
      </w:divBdr>
    </w:div>
    <w:div w:id="201248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esq5.cineca.it/php5/ESQ/esq.php?chiave=40cf109d321320763133ecc8f2e68aca|||a26wzbXWhbw1616585236&amp;valore_param%5b0%5d=Ricercatori&amp;valore_param%5b1%5d=DP5EGVHT4RABGJXF8WGKGGAWP" TargetMode="External"/><Relationship Id="rId18" Type="http://schemas.openxmlformats.org/officeDocument/2006/relationships/hyperlink" Target="http://esq5.cineca.it/php5/ESQ/esq.php?chiave=40cf109d321320763133ecc8f2e68aca|||iPBPzaFqqtc1616585575&amp;valore_param%5b0%5d=Tecnici-Amministrativi&amp;valore_param%5b1%5d=DP5EGVHT4RABGJXF8WGKGGAWP" TargetMode="External"/><Relationship Id="rId3" Type="http://schemas.openxmlformats.org/officeDocument/2006/relationships/styles" Target="styles.xml"/><Relationship Id="rId21" Type="http://schemas.openxmlformats.org/officeDocument/2006/relationships/chart" Target="charts/chart1.xml"/><Relationship Id="rId7" Type="http://schemas.openxmlformats.org/officeDocument/2006/relationships/image" Target="media/image2.png"/><Relationship Id="rId12" Type="http://schemas.openxmlformats.org/officeDocument/2006/relationships/hyperlink" Target="http://esq5.cineca.it/php5/ESQ/esq.php?chiave=40cf109d321320763133ecc8f2e68aca|||iPBPzaFqqtc1616585575&amp;valore_param%5b0%5d=Docenti&amp;valore_param%5b1%5d=DP5EGVHT4RABGJXF8WGKGGAWP" TargetMode="External"/><Relationship Id="rId17" Type="http://schemas.openxmlformats.org/officeDocument/2006/relationships/hyperlink" Target="http://esq5.cineca.it/php5/ESQ/esq.php?chiave=40cf109d321320763133ecc8f2e68aca|||a26wzbXWhbw1616585236&amp;valore_param%5b0%5d=Tecnici-Amministrativi&amp;valore_param%5b1%5d=DP5EGVHT4RABGJXF8WGKGGAWP" TargetMode="External"/><Relationship Id="rId2" Type="http://schemas.openxmlformats.org/officeDocument/2006/relationships/numbering" Target="numbering.xml"/><Relationship Id="rId16" Type="http://schemas.openxmlformats.org/officeDocument/2006/relationships/hyperlink" Target="http://esq5.cineca.it/php5/ESQ/esq.php?chiave=40cf109d321320763133ecc8f2e68aca|||iPBPzaFqqtc1616585575&amp;valore_param%5b0%5d=Ricercatori&amp;valore_param%5b1%5d=DP5EGVHT4RABGJXF8WGKGGAWP" TargetMode="External"/><Relationship Id="rId20" Type="http://schemas.openxmlformats.org/officeDocument/2006/relationships/hyperlink" Target="http://esq5.cineca.it/php5/ESQ/esq.php?chiave=40cf109d321320763133ecc8f2e68aca|||iPBPzaFqqtc1616585575&amp;valore_param%5b0%5d=Tecnici-Amministrativi&amp;valore_param%5b1%5d=DP5EGVHT4RABGJXF8WGKGGAWP" TargetMode="Externa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esq5.cineca.it/php5/ESQ/esq.php?chiave=40cf109d321320763133ecc8f2e68aca|||a26wzbXWhbw1616585236&amp;valore_param%5b0%5d=Docenti&amp;valore_param%5b1%5d=DP5EGVHT4RABGJXF8WGKGGAWP" TargetMode="External"/><Relationship Id="rId5" Type="http://schemas.openxmlformats.org/officeDocument/2006/relationships/webSettings" Target="webSettings.xml"/><Relationship Id="rId15" Type="http://schemas.openxmlformats.org/officeDocument/2006/relationships/hyperlink" Target="http://esq5.cineca.it/php5/ESQ/esq.php?chiave=40cf109d321320763133ecc8f2e68aca|||a26wzbXWhbw1616585236&amp;valore_param%5b0%5d=Ricercatori&amp;valore_param%5b1%5d=DP5EGVHT4RABGJXF8WGKGGAWP" TargetMode="External"/><Relationship Id="rId23" Type="http://schemas.openxmlformats.org/officeDocument/2006/relationships/theme" Target="theme/theme1.xml"/><Relationship Id="rId10" Type="http://schemas.openxmlformats.org/officeDocument/2006/relationships/hyperlink" Target="http://esq5.cineca.it/php5/ESQ/esq.php?chiave=40cf109d321320763133ecc8f2e68aca|||iPBPzaFqqtc1616585575&amp;valore_param%5b0%5d=Docenti&amp;valore_param%5b1%5d=DP5EGVHT4RABGJXF8WGKGGAWP" TargetMode="External"/><Relationship Id="rId19" Type="http://schemas.openxmlformats.org/officeDocument/2006/relationships/hyperlink" Target="http://esq5.cineca.it/php5/ESQ/esq.php?chiave=40cf109d321320763133ecc8f2e68aca|||a26wzbXWhbw1616585236&amp;valore_param%5b0%5d=Tecnici-Amministrativi&amp;valore_param%5b1%5d=DP5EGVHT4RABGJXF8WGKGGAWP" TargetMode="External"/><Relationship Id="rId4" Type="http://schemas.openxmlformats.org/officeDocument/2006/relationships/settings" Target="settings.xml"/><Relationship Id="rId9" Type="http://schemas.openxmlformats.org/officeDocument/2006/relationships/hyperlink" Target="http://esq5.cineca.it/php5/ESQ/esq.php?chiave=40cf109d321320763133ecc8f2e68aca|||a26wzbXWhbw1616585236&amp;valore_param%5b0%5d=Docenti&amp;valore_param%5b1%5d=DP5EGVHT4RABGJXF8WGKGGAWP" TargetMode="External"/><Relationship Id="rId14" Type="http://schemas.openxmlformats.org/officeDocument/2006/relationships/hyperlink" Target="http://esq5.cineca.it/php5/ESQ/esq.php?chiave=40cf109d321320763133ecc8f2e68aca|||iPBPzaFqqtc1616585575&amp;valore_param%5b0%5d=Ricercatori&amp;valore_param%5b1%5d=DP5EGVHT4RABGJXF8WGKGGAWP"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80" b="0" i="0" u="none" strike="noStrike" kern="1200" spc="0" baseline="0">
                <a:solidFill>
                  <a:schemeClr val="tx1">
                    <a:lumMod val="65000"/>
                    <a:lumOff val="35000"/>
                  </a:schemeClr>
                </a:solidFill>
                <a:latin typeface="+mn-lt"/>
                <a:ea typeface="+mn-ea"/>
                <a:cs typeface="+mn-cs"/>
              </a:defRPr>
            </a:pPr>
            <a:r>
              <a:rPr lang="it-IT"/>
              <a:t>Andamento del personale dal 2000 al 2020</a:t>
            </a:r>
          </a:p>
        </c:rich>
      </c:tx>
      <c:overlay val="0"/>
      <c:spPr>
        <a:noFill/>
        <a:ln>
          <a:noFill/>
        </a:ln>
        <a:effectLst/>
      </c:spPr>
    </c:title>
    <c:autoTitleDeleted val="0"/>
    <c:plotArea>
      <c:layout>
        <c:manualLayout>
          <c:layoutTarget val="inner"/>
          <c:xMode val="edge"/>
          <c:yMode val="edge"/>
          <c:x val="9.3663947194854991E-2"/>
          <c:y val="0.18334563959406078"/>
          <c:w val="0.88377194497674194"/>
          <c:h val="0.54104991022333038"/>
        </c:manualLayout>
      </c:layout>
      <c:barChart>
        <c:barDir val="col"/>
        <c:grouping val="clustered"/>
        <c:varyColors val="0"/>
        <c:ser>
          <c:idx val="0"/>
          <c:order val="1"/>
          <c:tx>
            <c:strRef>
              <c:f>'2020'!$B$52</c:f>
              <c:strCache>
                <c:ptCount val="1"/>
                <c:pt idx="0">
                  <c:v>DOC/RU/RTA/RTB</c:v>
                </c:pt>
              </c:strCache>
            </c:strRef>
          </c:tx>
          <c:spPr>
            <a:solidFill>
              <a:schemeClr val="accent1"/>
            </a:solidFill>
            <a:ln>
              <a:solidFill>
                <a:schemeClr val="accent1">
                  <a:lumMod val="50000"/>
                </a:schemeClr>
              </a:solidFill>
            </a:ln>
            <a:effectLst/>
          </c:spPr>
          <c:invertIfNegative val="0"/>
          <c:cat>
            <c:numRef>
              <c:f>'2020'!$A$53:$A$73</c:f>
              <c:numCache>
                <c:formatCode>General</c:formatCod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numCache>
            </c:numRef>
          </c:cat>
          <c:val>
            <c:numRef>
              <c:f>'2020'!$B$53:$B$73</c:f>
              <c:numCache>
                <c:formatCode>#,##0</c:formatCode>
                <c:ptCount val="21"/>
                <c:pt idx="0">
                  <c:v>2081</c:v>
                </c:pt>
                <c:pt idx="1">
                  <c:v>2198</c:v>
                </c:pt>
                <c:pt idx="2">
                  <c:v>2438</c:v>
                </c:pt>
                <c:pt idx="3">
                  <c:v>2382</c:v>
                </c:pt>
                <c:pt idx="4">
                  <c:v>2438</c:v>
                </c:pt>
                <c:pt idx="5">
                  <c:v>2525</c:v>
                </c:pt>
                <c:pt idx="6">
                  <c:v>2617</c:v>
                </c:pt>
                <c:pt idx="7">
                  <c:v>2585</c:v>
                </c:pt>
                <c:pt idx="8">
                  <c:v>2516</c:v>
                </c:pt>
                <c:pt idx="9">
                  <c:v>2425</c:v>
                </c:pt>
                <c:pt idx="10">
                  <c:v>2275</c:v>
                </c:pt>
                <c:pt idx="11">
                  <c:v>2237</c:v>
                </c:pt>
                <c:pt idx="12">
                  <c:v>2237</c:v>
                </c:pt>
                <c:pt idx="13">
                  <c:v>2215</c:v>
                </c:pt>
                <c:pt idx="14">
                  <c:v>2147</c:v>
                </c:pt>
                <c:pt idx="15">
                  <c:v>2026</c:v>
                </c:pt>
                <c:pt idx="16">
                  <c:v>2034</c:v>
                </c:pt>
                <c:pt idx="17">
                  <c:v>2117</c:v>
                </c:pt>
                <c:pt idx="18">
                  <c:v>2188</c:v>
                </c:pt>
                <c:pt idx="19">
                  <c:v>2179</c:v>
                </c:pt>
                <c:pt idx="20" formatCode="General">
                  <c:v>2203</c:v>
                </c:pt>
              </c:numCache>
            </c:numRef>
          </c:val>
          <c:extLst>
            <c:ext xmlns:c16="http://schemas.microsoft.com/office/drawing/2014/chart" uri="{C3380CC4-5D6E-409C-BE32-E72D297353CC}">
              <c16:uniqueId val="{00000000-CFEB-48B4-A3B8-FA1B47BE60A6}"/>
            </c:ext>
          </c:extLst>
        </c:ser>
        <c:ser>
          <c:idx val="1"/>
          <c:order val="2"/>
          <c:tx>
            <c:strRef>
              <c:f>'2020'!$C$52</c:f>
              <c:strCache>
                <c:ptCount val="1"/>
                <c:pt idx="0">
                  <c:v>PTAB IND/PTAB DET/COLLAB.LING.</c:v>
                </c:pt>
              </c:strCache>
            </c:strRef>
          </c:tx>
          <c:spPr>
            <a:solidFill>
              <a:schemeClr val="accent2"/>
            </a:solidFill>
            <a:ln>
              <a:solidFill>
                <a:srgbClr val="FF0000"/>
              </a:solidFill>
            </a:ln>
            <a:effectLst/>
          </c:spPr>
          <c:invertIfNegative val="0"/>
          <c:cat>
            <c:numRef>
              <c:f>'2020'!$A$53:$A$73</c:f>
              <c:numCache>
                <c:formatCode>General</c:formatCod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numCache>
            </c:numRef>
          </c:cat>
          <c:val>
            <c:numRef>
              <c:f>'2020'!$C$53:$C$73</c:f>
              <c:numCache>
                <c:formatCode>_-* #,##0_-;\-* #,##0_-;_-* "-"??_-;_-@_-</c:formatCode>
                <c:ptCount val="21"/>
                <c:pt idx="0">
                  <c:v>2147</c:v>
                </c:pt>
                <c:pt idx="1">
                  <c:v>2148</c:v>
                </c:pt>
                <c:pt idx="2">
                  <c:v>2177</c:v>
                </c:pt>
                <c:pt idx="3">
                  <c:v>2136</c:v>
                </c:pt>
                <c:pt idx="4">
                  <c:v>2121</c:v>
                </c:pt>
                <c:pt idx="5">
                  <c:v>2213</c:v>
                </c:pt>
                <c:pt idx="6">
                  <c:v>2146</c:v>
                </c:pt>
                <c:pt idx="7">
                  <c:v>2086</c:v>
                </c:pt>
                <c:pt idx="8">
                  <c:v>2074</c:v>
                </c:pt>
                <c:pt idx="9">
                  <c:v>2033</c:v>
                </c:pt>
                <c:pt idx="10">
                  <c:v>1992</c:v>
                </c:pt>
                <c:pt idx="11">
                  <c:v>1959</c:v>
                </c:pt>
                <c:pt idx="12">
                  <c:v>1949</c:v>
                </c:pt>
                <c:pt idx="13">
                  <c:v>1921</c:v>
                </c:pt>
                <c:pt idx="14">
                  <c:v>1918</c:v>
                </c:pt>
                <c:pt idx="15">
                  <c:v>1902</c:v>
                </c:pt>
                <c:pt idx="16" formatCode="#,##0">
                  <c:v>1919</c:v>
                </c:pt>
                <c:pt idx="17" formatCode="#,##0">
                  <c:v>1900</c:v>
                </c:pt>
                <c:pt idx="18" formatCode="#,##0">
                  <c:v>1933</c:v>
                </c:pt>
                <c:pt idx="19" formatCode="#,##0">
                  <c:v>1964</c:v>
                </c:pt>
                <c:pt idx="20" formatCode="General">
                  <c:v>2025</c:v>
                </c:pt>
              </c:numCache>
            </c:numRef>
          </c:val>
          <c:extLst>
            <c:ext xmlns:c16="http://schemas.microsoft.com/office/drawing/2014/chart" uri="{C3380CC4-5D6E-409C-BE32-E72D297353CC}">
              <c16:uniqueId val="{00000001-CFEB-48B4-A3B8-FA1B47BE60A6}"/>
            </c:ext>
          </c:extLst>
        </c:ser>
        <c:dLbls>
          <c:showLegendKey val="0"/>
          <c:showVal val="0"/>
          <c:showCatName val="0"/>
          <c:showSerName val="0"/>
          <c:showPercent val="0"/>
          <c:showBubbleSize val="0"/>
        </c:dLbls>
        <c:gapWidth val="150"/>
        <c:axId val="242686208"/>
        <c:axId val="242688000"/>
        <c:extLst>
          <c:ext xmlns:c15="http://schemas.microsoft.com/office/drawing/2012/chart" uri="{02D57815-91ED-43cb-92C2-25804820EDAC}">
            <c15:filteredBarSeries>
              <c15:ser>
                <c:idx val="2"/>
                <c:order val="0"/>
                <c:tx>
                  <c:strRef>
                    <c:extLst>
                      <c:ext uri="{02D57815-91ED-43cb-92C2-25804820EDAC}">
                        <c15:formulaRef>
                          <c15:sqref>'2020'!$A$52</c15:sqref>
                        </c15:formulaRef>
                      </c:ext>
                    </c:extLst>
                    <c:strCache>
                      <c:ptCount val="1"/>
                      <c:pt idx="0">
                        <c:v>ANNO</c:v>
                      </c:pt>
                    </c:strCache>
                  </c:strRef>
                </c:tx>
                <c:spPr>
                  <a:solidFill>
                    <a:schemeClr val="accent3"/>
                  </a:solidFill>
                  <a:ln>
                    <a:noFill/>
                  </a:ln>
                  <a:effectLst/>
                </c:spPr>
                <c:invertIfNegative val="0"/>
                <c:cat>
                  <c:numRef>
                    <c:extLst>
                      <c:ext uri="{02D57815-91ED-43cb-92C2-25804820EDAC}">
                        <c15:formulaRef>
                          <c15:sqref>'2020'!$A$53:$A$73</c15:sqref>
                        </c15:formulaRef>
                      </c:ext>
                    </c:extLst>
                    <c:numCache>
                      <c:formatCode>General</c:formatCod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numCache>
                  </c:numRef>
                </c:cat>
                <c:val>
                  <c:numRef>
                    <c:extLst>
                      <c:ext uri="{02D57815-91ED-43cb-92C2-25804820EDAC}">
                        <c15:formulaRef>
                          <c15:sqref>'2020'!$A$53:$A$72</c15:sqref>
                        </c15:formulaRef>
                      </c:ext>
                    </c:extLst>
                    <c:numCache>
                      <c:formatCode>General</c:formatCode>
                      <c:ptCount val="20"/>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numCache>
                  </c:numRef>
                </c:val>
                <c:extLst>
                  <c:ext xmlns:c16="http://schemas.microsoft.com/office/drawing/2014/chart" uri="{C3380CC4-5D6E-409C-BE32-E72D297353CC}">
                    <c16:uniqueId val="{00000002-CFEB-48B4-A3B8-FA1B47BE60A6}"/>
                  </c:ext>
                </c:extLst>
              </c15:ser>
            </c15:filteredBarSeries>
          </c:ext>
        </c:extLst>
      </c:barChart>
      <c:catAx>
        <c:axId val="242686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242688000"/>
        <c:crossesAt val="1500"/>
        <c:auto val="1"/>
        <c:lblAlgn val="ctr"/>
        <c:lblOffset val="100"/>
        <c:noMultiLvlLbl val="0"/>
      </c:catAx>
      <c:valAx>
        <c:axId val="242688000"/>
        <c:scaling>
          <c:orientation val="minMax"/>
          <c:min val="15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2426862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mn-lt"/>
        </a:defRPr>
      </a:pPr>
      <a:endParaRPr lang="it-IT"/>
    </a:p>
  </c:txPr>
  <c:externalData r:id="rId2">
    <c:autoUpdate val="0"/>
  </c:externalData>
</c:chartSpac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C0B6A-365E-42A6-8AED-529A0098A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6919</Words>
  <Characters>39443</Characters>
  <Application>Microsoft Office Word</Application>
  <DocSecurity>0</DocSecurity>
  <Lines>328</Lines>
  <Paragraphs>92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 PRINZI DAVIDE</dc:creator>
  <cp:lastModifiedBy>Caterina Gimelli</cp:lastModifiedBy>
  <cp:revision>2</cp:revision>
  <cp:lastPrinted>2021-06-15T07:47:00Z</cp:lastPrinted>
  <dcterms:created xsi:type="dcterms:W3CDTF">2021-06-18T07:28:00Z</dcterms:created>
  <dcterms:modified xsi:type="dcterms:W3CDTF">2021-06-18T07:28:00Z</dcterms:modified>
</cp:coreProperties>
</file>